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21294">
      <w:pPr>
        <w:pStyle w:val="7"/>
        <w:keepNext w:val="0"/>
        <w:keepLines w:val="0"/>
        <w:pageBreakBefore w:val="0"/>
        <w:widowControl/>
        <w:kinsoku/>
        <w:overflowPunct/>
        <w:topLinePunct w:val="0"/>
        <w:bidi w:val="0"/>
        <w:spacing w:line="360" w:lineRule="auto"/>
        <w:jc w:val="center"/>
        <w:textAlignment w:val="auto"/>
        <w:rPr>
          <w:rFonts w:hint="eastAsia"/>
          <w:highlight w:val="none"/>
          <w:lang w:val="en-US" w:eastAsia="zh-CN"/>
        </w:rPr>
      </w:pPr>
      <w:r>
        <w:rPr>
          <w:rFonts w:hint="eastAsia"/>
          <w:highlight w:val="none"/>
          <w:lang w:val="en-US" w:eastAsia="zh-CN"/>
        </w:rPr>
        <w:t>遂宁市安居区梧桐路片区城市污水管网整治及附属设施提升项目／遂宁市安居区城南旧城片区城市排水防涝整治建设项目劳务工程（2标段）</w:t>
      </w:r>
    </w:p>
    <w:p w14:paraId="22B9B7C8">
      <w:pPr>
        <w:pStyle w:val="7"/>
        <w:keepNext w:val="0"/>
        <w:keepLines w:val="0"/>
        <w:pageBreakBefore w:val="0"/>
        <w:widowControl/>
        <w:kinsoku/>
        <w:overflowPunct/>
        <w:topLinePunct w:val="0"/>
        <w:bidi w:val="0"/>
        <w:spacing w:line="360" w:lineRule="auto"/>
        <w:jc w:val="center"/>
        <w:textAlignment w:val="auto"/>
        <w:rPr>
          <w:rFonts w:hint="eastAsia"/>
          <w:highlight w:val="none"/>
          <w:lang w:val="en-US" w:eastAsia="zh-CN"/>
        </w:rPr>
      </w:pPr>
      <w:r>
        <w:rPr>
          <w:rFonts w:hint="eastAsia"/>
          <w:highlight w:val="none"/>
          <w:lang w:val="en-US" w:eastAsia="zh-CN"/>
        </w:rPr>
        <w:t>报价比选邀请函</w:t>
      </w:r>
    </w:p>
    <w:p w14:paraId="6ED875C4">
      <w:pPr>
        <w:pStyle w:val="4"/>
        <w:spacing w:after="0" w:line="240" w:lineRule="auto"/>
        <w:ind w:firstLine="0" w:firstLineChars="0"/>
        <w:jc w:val="center"/>
        <w:rPr>
          <w:color w:val="auto"/>
          <w:highlight w:val="none"/>
          <w:u w:val="none"/>
        </w:rPr>
      </w:pPr>
    </w:p>
    <w:p w14:paraId="4BF337CF">
      <w:pPr>
        <w:pStyle w:val="4"/>
        <w:spacing w:after="0" w:line="240" w:lineRule="auto"/>
        <w:ind w:firstLine="0" w:firstLineChars="0"/>
        <w:jc w:val="left"/>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各</w:t>
      </w:r>
      <w:r>
        <w:rPr>
          <w:rFonts w:hint="eastAsia" w:ascii="宋体" w:hAnsi="宋体" w:eastAsia="宋体" w:cs="宋体"/>
          <w:color w:val="auto"/>
          <w:sz w:val="24"/>
          <w:szCs w:val="24"/>
          <w:highlight w:val="none"/>
          <w:u w:val="none"/>
          <w:lang w:val="en-US" w:eastAsia="zh-CN"/>
        </w:rPr>
        <w:t>库内</w:t>
      </w:r>
      <w:r>
        <w:rPr>
          <w:rFonts w:hint="eastAsia" w:ascii="宋体" w:hAnsi="宋体" w:eastAsia="宋体" w:cs="宋体"/>
          <w:color w:val="auto"/>
          <w:sz w:val="24"/>
          <w:szCs w:val="24"/>
          <w:highlight w:val="none"/>
          <w:u w:val="none"/>
        </w:rPr>
        <w:t>劳务单位</w:t>
      </w:r>
      <w:r>
        <w:rPr>
          <w:rFonts w:hint="eastAsia" w:ascii="宋体" w:hAnsi="宋体" w:eastAsia="宋体" w:cs="宋体"/>
          <w:color w:val="auto"/>
          <w:sz w:val="24"/>
          <w:szCs w:val="24"/>
          <w:highlight w:val="none"/>
          <w:u w:val="none"/>
          <w:lang w:eastAsia="zh-CN"/>
        </w:rPr>
        <w:t>：</w:t>
      </w:r>
    </w:p>
    <w:p w14:paraId="1D3F2DE7">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eastAsia="zh-CN"/>
        </w:rPr>
        <w:t>由我司</w:t>
      </w:r>
      <w:r>
        <w:rPr>
          <w:rFonts w:hint="eastAsia" w:ascii="宋体" w:hAnsi="宋体" w:cs="Times New Roman" w:eastAsiaTheme="minorEastAsia"/>
          <w:b w:val="0"/>
          <w:bCs/>
          <w:kern w:val="0"/>
          <w:sz w:val="24"/>
          <w:szCs w:val="24"/>
          <w:lang w:val="en-US" w:eastAsia="zh-CN"/>
        </w:rPr>
        <w:t>施工承建</w:t>
      </w:r>
      <w:r>
        <w:rPr>
          <w:rFonts w:hint="eastAsia" w:ascii="宋体" w:hAnsi="宋体" w:cs="Times New Roman" w:eastAsiaTheme="minorEastAsia"/>
          <w:b w:val="0"/>
          <w:bCs/>
          <w:kern w:val="0"/>
          <w:sz w:val="24"/>
          <w:szCs w:val="24"/>
          <w:lang w:eastAsia="zh-CN"/>
        </w:rPr>
        <w:t>的</w:t>
      </w:r>
      <w:r>
        <w:rPr>
          <w:rFonts w:hint="eastAsia" w:ascii="宋体" w:hAnsi="宋体" w:cs="Times New Roman" w:eastAsiaTheme="minorEastAsia"/>
          <w:b w:val="0"/>
          <w:bCs/>
          <w:kern w:val="0"/>
          <w:sz w:val="24"/>
          <w:szCs w:val="24"/>
          <w:lang w:val="en-US" w:eastAsia="zh-CN"/>
        </w:rPr>
        <w:t xml:space="preserve">遂宁市安居区梧桐路片区城市污水管网整治及附属设施提升项目／遂宁市安居区城南旧城片区城市排水防涝整治建设项目 </w:t>
      </w:r>
      <w:r>
        <w:rPr>
          <w:rFonts w:hint="eastAsia" w:ascii="宋体" w:hAnsi="宋体" w:cs="Times New Roman" w:eastAsiaTheme="minorEastAsia"/>
          <w:b w:val="0"/>
          <w:bCs/>
          <w:kern w:val="0"/>
          <w:sz w:val="24"/>
          <w:szCs w:val="24"/>
          <w:lang w:eastAsia="zh-CN"/>
        </w:rPr>
        <w:t>，现根据施工需要，对本项目工程进行</w:t>
      </w:r>
      <w:r>
        <w:rPr>
          <w:rFonts w:hint="eastAsia" w:ascii="宋体" w:hAnsi="宋体" w:cs="Times New Roman" w:eastAsiaTheme="minorEastAsia"/>
          <w:b w:val="0"/>
          <w:bCs/>
          <w:kern w:val="0"/>
          <w:sz w:val="24"/>
          <w:szCs w:val="24"/>
          <w:lang w:val="en-US" w:eastAsia="zh-CN"/>
        </w:rPr>
        <w:t>劳务</w:t>
      </w:r>
      <w:r>
        <w:rPr>
          <w:rFonts w:hint="eastAsia" w:ascii="宋体" w:hAnsi="宋体" w:cs="Times New Roman" w:eastAsiaTheme="minorEastAsia"/>
          <w:b w:val="0"/>
          <w:bCs/>
          <w:kern w:val="0"/>
          <w:sz w:val="24"/>
          <w:szCs w:val="24"/>
          <w:lang w:eastAsia="zh-CN"/>
        </w:rPr>
        <w:t>分包，现诚邀遂宁市鹏安投资有限</w:t>
      </w:r>
      <w:r>
        <w:rPr>
          <w:rFonts w:hint="eastAsia" w:ascii="宋体" w:hAnsi="宋体" w:cs="Times New Roman" w:eastAsiaTheme="minorEastAsia"/>
          <w:b w:val="0"/>
          <w:bCs/>
          <w:kern w:val="0"/>
          <w:sz w:val="24"/>
          <w:szCs w:val="24"/>
          <w:lang w:val="en-US" w:eastAsia="zh-CN"/>
        </w:rPr>
        <w:t>公司各库内</w:t>
      </w:r>
      <w:r>
        <w:rPr>
          <w:rFonts w:hint="eastAsia" w:ascii="宋体" w:hAnsi="宋体" w:cs="Times New Roman" w:eastAsiaTheme="minorEastAsia"/>
          <w:b w:val="0"/>
          <w:bCs/>
          <w:kern w:val="0"/>
          <w:sz w:val="24"/>
          <w:szCs w:val="24"/>
          <w:lang w:eastAsia="zh-CN"/>
        </w:rPr>
        <w:t>劳务单</w:t>
      </w:r>
      <w:r>
        <w:rPr>
          <w:rFonts w:hint="eastAsia" w:ascii="宋体" w:hAnsi="宋体" w:cs="Times New Roman" w:eastAsiaTheme="minorEastAsia"/>
          <w:b w:val="0"/>
          <w:bCs/>
          <w:kern w:val="0"/>
          <w:sz w:val="24"/>
          <w:szCs w:val="24"/>
          <w:lang w:val="en-US" w:eastAsia="zh-CN"/>
        </w:rPr>
        <w:t>位进行报价，具体要求及报价表格式如下：</w:t>
      </w:r>
    </w:p>
    <w:p w14:paraId="2FE53B39">
      <w:pPr>
        <w:widowControl/>
        <w:spacing w:line="360" w:lineRule="auto"/>
        <w:ind w:firstLine="482" w:firstLineChars="200"/>
        <w:jc w:val="left"/>
        <w:rPr>
          <w:rFonts w:hint="eastAsia" w:ascii="宋体" w:hAnsi="宋体" w:cs="Times New Roman" w:eastAsiaTheme="minorEastAsia"/>
          <w:b/>
          <w:bCs w:val="0"/>
          <w:kern w:val="0"/>
          <w:sz w:val="24"/>
          <w:szCs w:val="24"/>
          <w:lang w:val="en-US" w:eastAsia="zh-CN"/>
        </w:rPr>
      </w:pPr>
      <w:r>
        <w:rPr>
          <w:rFonts w:hint="eastAsia" w:ascii="宋体" w:hAnsi="宋体" w:cs="Times New Roman" w:eastAsiaTheme="minorEastAsia"/>
          <w:b/>
          <w:bCs w:val="0"/>
          <w:kern w:val="0"/>
          <w:sz w:val="24"/>
          <w:szCs w:val="24"/>
          <w:lang w:val="en-US" w:eastAsia="zh-CN"/>
        </w:rPr>
        <w:t>一、招标基本情况及范围</w:t>
      </w:r>
    </w:p>
    <w:p w14:paraId="6761DDED">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1.工程概况：①遂宁市安居区梧桐路片区城市污水管网整治及附属设施提升项目：对梧桐北路全线路灯安装、交安标志标线及信号灯和监控设备进行恢复，对梧桐南路全线约中央隔离栏以及节点信号灯和监控设备进行恢复；②遂宁市安居区城南旧城片区城市排水防涝整治建设项目：新建雨水管道约3.4km，管径DN300-DN1500。新建排水管道约6.5km，管径为d300-d1000。恢复道路长度约为5.6km，对道路的附属配套设施进行恢复，对道路周边存在混流情况的区域进行治理。</w:t>
      </w:r>
    </w:p>
    <w:p w14:paraId="07629A45">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2.招标范围：遂宁市安居区梧桐路片区城市污水管网整治及附属设施提升项目／遂宁市安居区城南旧城片区城市排水防涝整治建设项目分两个标段进行招标，本次招标范围为2标段：</w:t>
      </w:r>
      <w:r>
        <w:rPr>
          <w:rFonts w:hint="default"/>
          <w:sz w:val="24"/>
          <w:szCs w:val="24"/>
          <w:lang w:val="en-US" w:eastAsia="zh-CN"/>
        </w:rPr>
        <w:t>遂宁市安居区城南旧城片区城市排水防涝整治建设项目（解元路、兴安北路、1号路、2号路、3号路、4号路、5号路、江边道路、交通街、混节点、厂区、截污干管）</w:t>
      </w:r>
      <w:r>
        <w:rPr>
          <w:rFonts w:hint="eastAsia"/>
          <w:sz w:val="24"/>
          <w:szCs w:val="24"/>
          <w:lang w:val="en-US" w:eastAsia="zh-CN"/>
        </w:rPr>
        <w:t>；</w:t>
      </w:r>
      <w:r>
        <w:rPr>
          <w:rFonts w:hint="default"/>
          <w:sz w:val="24"/>
          <w:szCs w:val="24"/>
          <w:lang w:val="en-US" w:eastAsia="zh-CN"/>
        </w:rPr>
        <w:t>遂宁市安居区梧桐路片区城市污水管网整治及附属设施</w:t>
      </w:r>
      <w:r>
        <w:rPr>
          <w:rFonts w:hint="default" w:ascii="宋体" w:hAnsi="宋体" w:cs="Times New Roman" w:eastAsiaTheme="minorEastAsia"/>
          <w:b w:val="0"/>
          <w:bCs/>
          <w:kern w:val="0"/>
          <w:sz w:val="24"/>
          <w:szCs w:val="24"/>
          <w:lang w:val="en-US" w:eastAsia="zh-CN"/>
        </w:rPr>
        <w:t>提升项目（梧桐南路、解元路、兴安北路、1号路、2号路、3号路、4号路、5号路、江边道路）</w:t>
      </w:r>
      <w:r>
        <w:rPr>
          <w:rFonts w:hint="eastAsia" w:ascii="宋体" w:hAnsi="宋体" w:cs="Times New Roman" w:eastAsiaTheme="minorEastAsia"/>
          <w:b w:val="0"/>
          <w:bCs/>
          <w:kern w:val="0"/>
          <w:sz w:val="24"/>
          <w:szCs w:val="24"/>
          <w:lang w:val="en-US" w:eastAsia="zh-CN"/>
        </w:rPr>
        <w:t>，控制价为5658456.58元。</w:t>
      </w:r>
    </w:p>
    <w:p w14:paraId="50E25C34">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以上招标范围内包含人工费、机械费、措施费、劳保费、管理费、利润、辅材费、用工人员保险费、税金、安全文明施工费、规费等一切费用。具体内容详招标清单及图纸。</w:t>
      </w:r>
    </w:p>
    <w:p w14:paraId="1D92F5FB">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3.施工工期：以我司通知进场为准，工期为540天。(若工期延期则分包工期顺延）。</w:t>
      </w:r>
    </w:p>
    <w:p w14:paraId="3D27E079">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4.施工要求：满足施工图纸及现行相关规范要求，经相关部门验收合格。</w:t>
      </w:r>
    </w:p>
    <w:p w14:paraId="3F2D31DB">
      <w:pPr>
        <w:widowControl/>
        <w:spacing w:line="360" w:lineRule="auto"/>
        <w:ind w:firstLine="482" w:firstLineChars="200"/>
        <w:jc w:val="left"/>
        <w:rPr>
          <w:rFonts w:hint="eastAsia" w:ascii="宋体" w:hAnsi="宋体" w:cs="Times New Roman" w:eastAsiaTheme="minorEastAsia"/>
          <w:b/>
          <w:bCs w:val="0"/>
          <w:kern w:val="0"/>
          <w:sz w:val="24"/>
          <w:szCs w:val="24"/>
          <w:lang w:eastAsia="zh-CN"/>
        </w:rPr>
      </w:pPr>
      <w:r>
        <w:rPr>
          <w:rFonts w:hint="eastAsia" w:ascii="宋体" w:hAnsi="宋体" w:cs="Times New Roman" w:eastAsiaTheme="minorEastAsia"/>
          <w:b/>
          <w:bCs w:val="0"/>
          <w:kern w:val="0"/>
          <w:sz w:val="24"/>
          <w:szCs w:val="24"/>
          <w:lang w:val="en-US" w:eastAsia="zh-CN"/>
        </w:rPr>
        <w:t>二、劳务资质及报价</w:t>
      </w:r>
      <w:r>
        <w:rPr>
          <w:rFonts w:hint="eastAsia" w:ascii="宋体" w:hAnsi="宋体" w:cs="Times New Roman" w:eastAsiaTheme="minorEastAsia"/>
          <w:b/>
          <w:bCs w:val="0"/>
          <w:kern w:val="0"/>
          <w:sz w:val="24"/>
          <w:szCs w:val="24"/>
          <w:lang w:eastAsia="zh-CN"/>
        </w:rPr>
        <w:t>要求</w:t>
      </w:r>
      <w:r>
        <w:rPr>
          <w:rFonts w:hint="eastAsia" w:ascii="宋体" w:hAnsi="宋体" w:cs="Times New Roman" w:eastAsiaTheme="minorEastAsia"/>
          <w:b/>
          <w:bCs w:val="0"/>
          <w:kern w:val="0"/>
          <w:sz w:val="24"/>
          <w:szCs w:val="24"/>
          <w:lang w:eastAsia="zh-CN"/>
        </w:rPr>
        <w:tab/>
      </w:r>
    </w:p>
    <w:p w14:paraId="0C0DA309">
      <w:pPr>
        <w:widowControl/>
        <w:spacing w:line="360" w:lineRule="auto"/>
        <w:ind w:firstLine="482" w:firstLineChars="200"/>
        <w:jc w:val="left"/>
        <w:rPr>
          <w:rFonts w:hint="eastAsia" w:ascii="宋体" w:hAnsi="宋体" w:cs="Times New Roman" w:eastAsiaTheme="minorEastAsia"/>
          <w:b/>
          <w:bCs w:val="0"/>
          <w:kern w:val="0"/>
          <w:sz w:val="24"/>
          <w:szCs w:val="24"/>
          <w:lang w:eastAsia="zh-CN"/>
        </w:rPr>
      </w:pPr>
      <w:r>
        <w:rPr>
          <w:rFonts w:hint="eastAsia" w:ascii="宋体" w:hAnsi="宋体" w:cs="Times New Roman" w:eastAsiaTheme="minorEastAsia"/>
          <w:b/>
          <w:bCs w:val="0"/>
          <w:kern w:val="0"/>
          <w:sz w:val="24"/>
          <w:szCs w:val="24"/>
          <w:lang w:val="en-US" w:eastAsia="zh-CN"/>
        </w:rPr>
        <w:t>1.</w:t>
      </w:r>
      <w:r>
        <w:rPr>
          <w:rFonts w:hint="eastAsia" w:ascii="宋体" w:hAnsi="宋体" w:cs="Times New Roman" w:eastAsiaTheme="minorEastAsia"/>
          <w:b/>
          <w:bCs w:val="0"/>
          <w:kern w:val="0"/>
          <w:sz w:val="24"/>
          <w:szCs w:val="24"/>
          <w:lang w:eastAsia="zh-CN"/>
        </w:rPr>
        <w:t>资质要求：</w:t>
      </w:r>
    </w:p>
    <w:p w14:paraId="45AFFDD2">
      <w:pPr>
        <w:widowControl/>
        <w:spacing w:line="360" w:lineRule="auto"/>
        <w:ind w:firstLine="480" w:firstLineChars="200"/>
        <w:jc w:val="left"/>
        <w:rPr>
          <w:rFonts w:hint="eastAsia" w:ascii="宋体" w:hAnsi="宋体" w:cs="Times New Roman" w:eastAsiaTheme="minorEastAsia"/>
          <w:b w:val="0"/>
          <w:bCs/>
          <w:kern w:val="0"/>
          <w:sz w:val="24"/>
          <w:szCs w:val="24"/>
          <w:lang w:eastAsia="zh-CN"/>
        </w:rPr>
      </w:pPr>
      <w:r>
        <w:rPr>
          <w:rFonts w:hint="eastAsia" w:ascii="宋体" w:hAnsi="宋体" w:cs="Times New Roman" w:eastAsiaTheme="minorEastAsia"/>
          <w:b w:val="0"/>
          <w:bCs/>
          <w:kern w:val="0"/>
          <w:sz w:val="24"/>
          <w:szCs w:val="24"/>
          <w:lang w:val="en-US" w:eastAsia="zh-CN"/>
        </w:rPr>
        <w:t>①</w:t>
      </w:r>
      <w:r>
        <w:rPr>
          <w:rFonts w:hint="eastAsia" w:ascii="宋体" w:hAnsi="宋体" w:cs="Times New Roman" w:eastAsiaTheme="minorEastAsia"/>
          <w:b w:val="0"/>
          <w:bCs/>
          <w:kern w:val="0"/>
          <w:sz w:val="24"/>
          <w:szCs w:val="24"/>
          <w:lang w:eastAsia="zh-CN"/>
        </w:rPr>
        <w:t>投标人须具备独立企业法人资格，投标单位必须为遂宁市鹏安投资有限公司库内</w:t>
      </w:r>
      <w:r>
        <w:rPr>
          <w:rFonts w:hint="eastAsia" w:ascii="宋体" w:hAnsi="宋体" w:cs="Times New Roman" w:eastAsiaTheme="minorEastAsia"/>
          <w:b w:val="0"/>
          <w:bCs/>
          <w:kern w:val="0"/>
          <w:sz w:val="24"/>
          <w:szCs w:val="24"/>
          <w:lang w:val="en-US" w:eastAsia="zh-CN"/>
        </w:rPr>
        <w:t>劳务单位</w:t>
      </w:r>
      <w:r>
        <w:rPr>
          <w:rFonts w:hint="eastAsia" w:ascii="宋体" w:hAnsi="宋体" w:cs="Times New Roman" w:eastAsiaTheme="minorEastAsia"/>
          <w:b w:val="0"/>
          <w:bCs/>
          <w:kern w:val="0"/>
          <w:sz w:val="24"/>
          <w:szCs w:val="24"/>
          <w:lang w:eastAsia="zh-CN"/>
        </w:rPr>
        <w:t>。（不接受自然人参与本项目投标）</w:t>
      </w:r>
    </w:p>
    <w:p w14:paraId="6B2971C9">
      <w:pPr>
        <w:pStyle w:val="4"/>
        <w:widowControl/>
        <w:numPr>
          <w:ilvl w:val="0"/>
          <w:numId w:val="0"/>
        </w:numPr>
        <w:ind w:firstLine="482" w:firstLineChars="200"/>
        <w:rPr>
          <w:rFonts w:hint="eastAsia" w:ascii="宋体" w:hAnsi="宋体" w:cs="Times New Roman" w:eastAsiaTheme="minorEastAsia"/>
          <w:b w:val="0"/>
          <w:bCs/>
          <w:kern w:val="0"/>
          <w:sz w:val="24"/>
          <w:szCs w:val="24"/>
          <w:lang w:eastAsia="zh-CN"/>
        </w:rPr>
      </w:pPr>
      <w:r>
        <w:rPr>
          <w:rFonts w:hint="eastAsia"/>
          <w:b/>
          <w:bCs/>
          <w:color w:val="auto"/>
          <w:highlight w:val="none"/>
          <w:lang w:val="en-US" w:eastAsia="zh-CN"/>
        </w:rPr>
        <w:t>注：投标单位在本公司100万以上的在建工程不得超过两个（超过两个投标视为无效）。</w:t>
      </w:r>
    </w:p>
    <w:p w14:paraId="7E2897CC">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②</w:t>
      </w:r>
      <w:r>
        <w:rPr>
          <w:rFonts w:hint="eastAsia" w:ascii="宋体" w:hAnsi="宋体" w:cs="Times New Roman" w:eastAsiaTheme="minorEastAsia"/>
          <w:b w:val="0"/>
          <w:bCs/>
          <w:kern w:val="0"/>
          <w:sz w:val="24"/>
          <w:szCs w:val="24"/>
          <w:lang w:eastAsia="zh-CN"/>
        </w:rPr>
        <w:t>须具备建设行政主管部门核发的施工劳务企业资质（施工劳务不分等级或建筑业企业施工劳务备案证书或建筑专业作业企业工种分类证书），具备有效的安全生产许可证。</w:t>
      </w:r>
    </w:p>
    <w:p w14:paraId="79258515">
      <w:pPr>
        <w:widowControl/>
        <w:spacing w:line="360" w:lineRule="auto"/>
        <w:ind w:firstLine="480" w:firstLineChars="200"/>
        <w:jc w:val="left"/>
        <w:rPr>
          <w:rFonts w:hint="eastAsia" w:ascii="宋体" w:hAnsi="宋体" w:cs="Times New Roman" w:eastAsiaTheme="minorEastAsia"/>
          <w:b w:val="0"/>
          <w:bCs/>
          <w:kern w:val="0"/>
          <w:sz w:val="24"/>
          <w:szCs w:val="24"/>
          <w:lang w:eastAsia="zh-CN"/>
        </w:rPr>
      </w:pPr>
      <w:r>
        <w:rPr>
          <w:rFonts w:hint="eastAsia" w:ascii="宋体" w:hAnsi="宋体" w:cs="Times New Roman" w:eastAsiaTheme="minorEastAsia"/>
          <w:b w:val="0"/>
          <w:bCs/>
          <w:kern w:val="0"/>
          <w:sz w:val="24"/>
          <w:szCs w:val="24"/>
          <w:lang w:val="en-US" w:eastAsia="zh-CN"/>
        </w:rPr>
        <w:t>③</w:t>
      </w:r>
      <w:r>
        <w:rPr>
          <w:rFonts w:hint="eastAsia" w:ascii="宋体" w:hAnsi="宋体" w:cs="Times New Roman" w:eastAsiaTheme="minorEastAsia"/>
          <w:b w:val="0"/>
          <w:bCs/>
          <w:kern w:val="0"/>
          <w:sz w:val="24"/>
          <w:szCs w:val="24"/>
          <w:lang w:eastAsia="zh-CN"/>
        </w:rPr>
        <w:t>技术</w:t>
      </w:r>
      <w:r>
        <w:rPr>
          <w:rFonts w:hint="eastAsia" w:ascii="宋体" w:hAnsi="宋体" w:cs="Times New Roman" w:eastAsiaTheme="minorEastAsia"/>
          <w:b w:val="0"/>
          <w:bCs/>
          <w:kern w:val="0"/>
          <w:sz w:val="24"/>
          <w:szCs w:val="24"/>
          <w:lang w:val="en-US" w:eastAsia="zh-CN"/>
        </w:rPr>
        <w:t>及人员</w:t>
      </w:r>
      <w:r>
        <w:rPr>
          <w:rFonts w:hint="eastAsia" w:ascii="宋体" w:hAnsi="宋体" w:cs="Times New Roman" w:eastAsiaTheme="minorEastAsia"/>
          <w:b w:val="0"/>
          <w:bCs/>
          <w:kern w:val="0"/>
          <w:sz w:val="24"/>
          <w:szCs w:val="24"/>
          <w:lang w:eastAsia="zh-CN"/>
        </w:rPr>
        <w:t>要求：具有履行合同所必需的设备和专业技术能力（包含</w:t>
      </w:r>
      <w:r>
        <w:rPr>
          <w:rFonts w:hint="eastAsia" w:ascii="宋体" w:hAnsi="宋体" w:cs="Times New Roman" w:eastAsiaTheme="minorEastAsia"/>
          <w:b w:val="0"/>
          <w:bCs/>
          <w:kern w:val="0"/>
          <w:sz w:val="24"/>
          <w:szCs w:val="24"/>
          <w:lang w:val="en-US" w:eastAsia="zh-CN"/>
        </w:rPr>
        <w:t>具有市政二级建造师或市政施工员证书的</w:t>
      </w:r>
      <w:r>
        <w:rPr>
          <w:rFonts w:hint="eastAsia" w:ascii="宋体" w:hAnsi="宋体" w:cs="Times New Roman" w:eastAsiaTheme="minorEastAsia"/>
          <w:b w:val="0"/>
          <w:bCs/>
          <w:kern w:val="0"/>
          <w:sz w:val="24"/>
          <w:szCs w:val="24"/>
          <w:lang w:eastAsia="zh-CN"/>
        </w:rPr>
        <w:t>现场施工管理人员</w:t>
      </w:r>
      <w:r>
        <w:rPr>
          <w:rFonts w:hint="eastAsia" w:ascii="宋体" w:hAnsi="宋体" w:cs="Times New Roman" w:eastAsiaTheme="minorEastAsia"/>
          <w:b w:val="0"/>
          <w:bCs/>
          <w:kern w:val="0"/>
          <w:sz w:val="24"/>
          <w:szCs w:val="24"/>
          <w:lang w:val="en-US" w:eastAsia="zh-CN"/>
        </w:rPr>
        <w:t>1</w:t>
      </w:r>
      <w:r>
        <w:rPr>
          <w:rFonts w:hint="eastAsia" w:ascii="宋体" w:hAnsi="宋体" w:cs="Times New Roman" w:eastAsiaTheme="minorEastAsia"/>
          <w:b w:val="0"/>
          <w:bCs/>
          <w:kern w:val="0"/>
          <w:sz w:val="24"/>
          <w:szCs w:val="24"/>
          <w:lang w:eastAsia="zh-CN"/>
        </w:rPr>
        <w:t>名，</w:t>
      </w:r>
      <w:r>
        <w:rPr>
          <w:rFonts w:hint="eastAsia" w:ascii="宋体" w:hAnsi="宋体" w:cs="Times New Roman" w:eastAsiaTheme="minorEastAsia"/>
          <w:b w:val="0"/>
          <w:bCs/>
          <w:kern w:val="0"/>
          <w:sz w:val="24"/>
          <w:szCs w:val="24"/>
          <w:lang w:val="en-US" w:eastAsia="zh-CN"/>
        </w:rPr>
        <w:t>具有安全员证书的</w:t>
      </w:r>
      <w:r>
        <w:rPr>
          <w:rFonts w:hint="eastAsia" w:ascii="宋体" w:hAnsi="宋体" w:cs="Times New Roman" w:eastAsiaTheme="minorEastAsia"/>
          <w:b w:val="0"/>
          <w:bCs/>
          <w:kern w:val="0"/>
          <w:sz w:val="24"/>
          <w:szCs w:val="24"/>
          <w:lang w:eastAsia="zh-CN"/>
        </w:rPr>
        <w:t>安全协管人员不低于1人，劳资</w:t>
      </w:r>
      <w:r>
        <w:rPr>
          <w:rFonts w:hint="eastAsia" w:ascii="宋体" w:hAnsi="宋体" w:cs="Times New Roman" w:eastAsiaTheme="minorEastAsia"/>
          <w:b w:val="0"/>
          <w:bCs/>
          <w:kern w:val="0"/>
          <w:sz w:val="24"/>
          <w:szCs w:val="24"/>
          <w:lang w:val="en-US" w:eastAsia="zh-CN"/>
        </w:rPr>
        <w:t>资料</w:t>
      </w:r>
      <w:r>
        <w:rPr>
          <w:rFonts w:hint="eastAsia" w:ascii="宋体" w:hAnsi="宋体" w:cs="Times New Roman" w:eastAsiaTheme="minorEastAsia"/>
          <w:b w:val="0"/>
          <w:bCs/>
          <w:kern w:val="0"/>
          <w:sz w:val="24"/>
          <w:szCs w:val="24"/>
          <w:lang w:eastAsia="zh-CN"/>
        </w:rPr>
        <w:t>管理人员1人，</w:t>
      </w:r>
      <w:r>
        <w:rPr>
          <w:rFonts w:hint="eastAsia" w:ascii="宋体" w:hAnsi="宋体" w:cs="Times New Roman" w:eastAsiaTheme="minorEastAsia"/>
          <w:b w:val="0"/>
          <w:bCs/>
          <w:kern w:val="0"/>
          <w:sz w:val="24"/>
          <w:szCs w:val="24"/>
          <w:lang w:val="en-US" w:eastAsia="zh-CN"/>
        </w:rPr>
        <w:t>劳务造价专员1名</w:t>
      </w:r>
      <w:r>
        <w:rPr>
          <w:rFonts w:hint="eastAsia" w:ascii="宋体" w:hAnsi="宋体" w:cs="Times New Roman" w:eastAsiaTheme="minorEastAsia"/>
          <w:b w:val="0"/>
          <w:bCs/>
          <w:kern w:val="0"/>
          <w:sz w:val="24"/>
          <w:szCs w:val="24"/>
          <w:lang w:eastAsia="zh-CN"/>
        </w:rPr>
        <w:t>，</w:t>
      </w:r>
      <w:r>
        <w:rPr>
          <w:rFonts w:hint="eastAsia" w:ascii="宋体" w:hAnsi="宋体" w:cs="Times New Roman" w:eastAsiaTheme="minorEastAsia"/>
          <w:b w:val="0"/>
          <w:bCs/>
          <w:kern w:val="0"/>
          <w:sz w:val="24"/>
          <w:szCs w:val="24"/>
          <w:lang w:val="en-US" w:eastAsia="zh-CN"/>
        </w:rPr>
        <w:t>材料员1名</w:t>
      </w:r>
      <w:r>
        <w:rPr>
          <w:rFonts w:hint="eastAsia" w:ascii="宋体" w:hAnsi="宋体" w:cs="Times New Roman" w:eastAsiaTheme="minorEastAsia"/>
          <w:b w:val="0"/>
          <w:bCs/>
          <w:kern w:val="0"/>
          <w:sz w:val="24"/>
          <w:szCs w:val="24"/>
          <w:highlight w:val="none"/>
          <w:lang w:val="en-US" w:eastAsia="zh-CN"/>
        </w:rPr>
        <w:t>（劳务员、造价专员、材料员三个岗位可一人兼2个岗位（最少2人），其他管理岗位不得兼职）</w:t>
      </w:r>
      <w:r>
        <w:rPr>
          <w:rFonts w:hint="eastAsia" w:ascii="宋体" w:hAnsi="宋体" w:cs="Times New Roman" w:eastAsiaTheme="minorEastAsia"/>
          <w:b w:val="0"/>
          <w:bCs/>
          <w:kern w:val="0"/>
          <w:sz w:val="24"/>
          <w:szCs w:val="24"/>
          <w:lang w:val="en-US" w:eastAsia="zh-CN"/>
        </w:rPr>
        <w:t>需</w:t>
      </w:r>
      <w:r>
        <w:rPr>
          <w:rFonts w:hint="eastAsia" w:ascii="宋体" w:hAnsi="宋体" w:cs="Times New Roman" w:eastAsiaTheme="minorEastAsia"/>
          <w:b w:val="0"/>
          <w:bCs/>
          <w:kern w:val="0"/>
          <w:sz w:val="24"/>
          <w:szCs w:val="24"/>
          <w:lang w:eastAsia="zh-CN"/>
        </w:rPr>
        <w:t>提供</w:t>
      </w:r>
      <w:r>
        <w:rPr>
          <w:rFonts w:hint="eastAsia" w:ascii="宋体" w:hAnsi="宋体" w:cs="Times New Roman" w:eastAsiaTheme="minorEastAsia"/>
          <w:b w:val="0"/>
          <w:bCs/>
          <w:kern w:val="0"/>
          <w:sz w:val="24"/>
          <w:szCs w:val="24"/>
          <w:lang w:val="en-US" w:eastAsia="zh-CN"/>
        </w:rPr>
        <w:t>人员与投标单位签订的劳动合同</w:t>
      </w:r>
      <w:r>
        <w:rPr>
          <w:rFonts w:hint="eastAsia" w:ascii="宋体" w:hAnsi="宋体" w:cs="Times New Roman" w:eastAsiaTheme="minorEastAsia"/>
          <w:b w:val="0"/>
          <w:bCs/>
          <w:kern w:val="0"/>
          <w:sz w:val="24"/>
          <w:szCs w:val="24"/>
          <w:lang w:eastAsia="zh-CN"/>
        </w:rPr>
        <w:t>）。</w:t>
      </w:r>
    </w:p>
    <w:p w14:paraId="6D457CAE">
      <w:pPr>
        <w:widowControl/>
        <w:spacing w:line="360" w:lineRule="auto"/>
        <w:ind w:firstLine="482" w:firstLineChars="200"/>
        <w:jc w:val="left"/>
        <w:rPr>
          <w:rFonts w:hint="eastAsia" w:ascii="宋体" w:hAnsi="宋体" w:cs="Times New Roman" w:eastAsiaTheme="minorEastAsia"/>
          <w:b/>
          <w:bCs w:val="0"/>
          <w:kern w:val="0"/>
          <w:sz w:val="24"/>
          <w:szCs w:val="24"/>
          <w:lang w:eastAsia="zh-CN"/>
        </w:rPr>
      </w:pPr>
      <w:r>
        <w:rPr>
          <w:rFonts w:hint="eastAsia" w:ascii="宋体" w:hAnsi="宋体" w:cs="Times New Roman" w:eastAsiaTheme="minorEastAsia"/>
          <w:b/>
          <w:bCs w:val="0"/>
          <w:kern w:val="0"/>
          <w:sz w:val="24"/>
          <w:szCs w:val="24"/>
          <w:lang w:val="en-US" w:eastAsia="zh-CN"/>
        </w:rPr>
        <w:t>2.</w:t>
      </w:r>
      <w:r>
        <w:rPr>
          <w:rFonts w:hint="eastAsia" w:ascii="宋体" w:hAnsi="宋体" w:cs="Times New Roman" w:eastAsiaTheme="minorEastAsia"/>
          <w:b/>
          <w:bCs w:val="0"/>
          <w:kern w:val="0"/>
          <w:sz w:val="24"/>
          <w:szCs w:val="24"/>
          <w:lang w:eastAsia="zh-CN"/>
        </w:rPr>
        <w:t>报价要求：</w:t>
      </w:r>
    </w:p>
    <w:p w14:paraId="06F7A6F2">
      <w:pPr>
        <w:widowControl/>
        <w:spacing w:line="360" w:lineRule="auto"/>
        <w:ind w:firstLine="480" w:firstLineChars="200"/>
        <w:jc w:val="left"/>
        <w:rPr>
          <w:rFonts w:hint="eastAsia" w:ascii="宋体" w:hAnsi="宋体" w:cs="Times New Roman" w:eastAsiaTheme="minorEastAsia"/>
          <w:b w:val="0"/>
          <w:bCs/>
          <w:kern w:val="0"/>
          <w:sz w:val="24"/>
          <w:szCs w:val="24"/>
          <w:lang w:eastAsia="zh-CN"/>
        </w:rPr>
      </w:pPr>
      <w:r>
        <w:rPr>
          <w:rFonts w:hint="eastAsia" w:ascii="宋体" w:hAnsi="宋体" w:cs="Times New Roman" w:eastAsiaTheme="minorEastAsia"/>
          <w:b w:val="0"/>
          <w:bCs/>
          <w:kern w:val="0"/>
          <w:sz w:val="24"/>
          <w:szCs w:val="24"/>
          <w:lang w:val="en-US" w:eastAsia="zh-CN"/>
        </w:rPr>
        <w:t>控制</w:t>
      </w:r>
      <w:r>
        <w:rPr>
          <w:rFonts w:hint="eastAsia" w:ascii="宋体" w:hAnsi="宋体" w:cs="Times New Roman" w:eastAsiaTheme="minorEastAsia"/>
          <w:b w:val="0"/>
          <w:bCs/>
          <w:kern w:val="0"/>
          <w:sz w:val="24"/>
          <w:szCs w:val="24"/>
          <w:lang w:eastAsia="zh-CN"/>
        </w:rPr>
        <w:t>价</w:t>
      </w:r>
      <w:r>
        <w:rPr>
          <w:rFonts w:hint="eastAsia" w:ascii="宋体" w:hAnsi="宋体" w:cs="Times New Roman" w:eastAsiaTheme="minorEastAsia"/>
          <w:b w:val="0"/>
          <w:bCs/>
          <w:kern w:val="0"/>
          <w:sz w:val="24"/>
          <w:szCs w:val="24"/>
          <w:lang w:val="en-US" w:eastAsia="zh-CN"/>
        </w:rPr>
        <w:t>为：5658456.58元(大写：伍佰陆拾伍万捌仟肆佰伍拾陆元伍角捌分），</w:t>
      </w:r>
      <w:r>
        <w:rPr>
          <w:rFonts w:hint="eastAsia" w:ascii="宋体" w:hAnsi="宋体" w:cs="Times New Roman" w:eastAsiaTheme="minorEastAsia"/>
          <w:b w:val="0"/>
          <w:bCs/>
          <w:kern w:val="0"/>
          <w:sz w:val="24"/>
          <w:szCs w:val="24"/>
          <w:lang w:val="en-US" w:eastAsia="zh-CN"/>
        </w:rPr>
        <w:t>以清单总价报下浮比例（详附件4），下浮率应高于12%,且下浮率应小于18%，下浮率≤12%或≥18%视为废标</w:t>
      </w:r>
      <w:r>
        <w:rPr>
          <w:rFonts w:hint="eastAsia" w:ascii="宋体" w:hAnsi="宋体" w:cs="Times New Roman" w:eastAsiaTheme="minorEastAsia"/>
          <w:b w:val="0"/>
          <w:bCs/>
          <w:kern w:val="0"/>
          <w:sz w:val="24"/>
          <w:szCs w:val="24"/>
          <w:lang w:val="en-US" w:eastAsia="zh-CN"/>
        </w:rPr>
        <w:t>。本次招标的劳务单位需根据招标工作内容、工程清单及图纸自行考虑并报价，工程</w:t>
      </w:r>
      <w:r>
        <w:rPr>
          <w:rFonts w:hint="eastAsia" w:ascii="宋体" w:hAnsi="宋体" w:cs="Times New Roman" w:eastAsiaTheme="minorEastAsia"/>
          <w:b w:val="0"/>
          <w:bCs/>
          <w:kern w:val="0"/>
          <w:sz w:val="24"/>
          <w:szCs w:val="24"/>
          <w:lang w:eastAsia="zh-CN"/>
        </w:rPr>
        <w:t>结算费最终以竣工验收</w:t>
      </w:r>
      <w:r>
        <w:rPr>
          <w:rFonts w:hint="eastAsia" w:ascii="宋体" w:hAnsi="宋体" w:cs="Times New Roman" w:eastAsiaTheme="minorEastAsia"/>
          <w:b w:val="0"/>
          <w:bCs/>
          <w:kern w:val="0"/>
          <w:sz w:val="24"/>
          <w:szCs w:val="24"/>
          <w:lang w:val="en-US" w:eastAsia="zh-CN"/>
        </w:rPr>
        <w:t>合格</w:t>
      </w:r>
      <w:r>
        <w:rPr>
          <w:rFonts w:hint="eastAsia" w:ascii="宋体" w:hAnsi="宋体" w:cs="Times New Roman" w:eastAsiaTheme="minorEastAsia"/>
          <w:b w:val="0"/>
          <w:bCs/>
          <w:kern w:val="0"/>
          <w:sz w:val="24"/>
          <w:szCs w:val="24"/>
          <w:lang w:eastAsia="zh-CN"/>
        </w:rPr>
        <w:t>后业主认可的工程造价</w:t>
      </w:r>
      <w:r>
        <w:rPr>
          <w:rFonts w:hint="eastAsia" w:ascii="宋体" w:hAnsi="宋体" w:cs="Times New Roman" w:eastAsiaTheme="minorEastAsia"/>
          <w:b w:val="0"/>
          <w:bCs/>
          <w:kern w:val="0"/>
          <w:sz w:val="24"/>
          <w:szCs w:val="24"/>
          <w:lang w:val="en-US" w:eastAsia="zh-CN"/>
        </w:rPr>
        <w:t>及签字确认的工作指令单</w:t>
      </w:r>
      <w:r>
        <w:rPr>
          <w:rFonts w:hint="eastAsia" w:ascii="宋体" w:hAnsi="宋体" w:cs="Times New Roman" w:eastAsiaTheme="minorEastAsia"/>
          <w:b w:val="0"/>
          <w:bCs/>
          <w:kern w:val="0"/>
          <w:sz w:val="24"/>
          <w:szCs w:val="24"/>
          <w:lang w:eastAsia="zh-CN"/>
        </w:rPr>
        <w:t>进行结算</w:t>
      </w:r>
      <w:r>
        <w:rPr>
          <w:rFonts w:hint="eastAsia" w:ascii="宋体" w:hAnsi="宋体" w:cs="Times New Roman" w:eastAsiaTheme="minorEastAsia"/>
          <w:b w:val="0"/>
          <w:bCs/>
          <w:kern w:val="0"/>
          <w:sz w:val="24"/>
          <w:szCs w:val="24"/>
          <w:lang w:val="en-US" w:eastAsia="zh-CN"/>
        </w:rPr>
        <w:t>的</w:t>
      </w:r>
      <w:r>
        <w:rPr>
          <w:rFonts w:hint="eastAsia" w:ascii="宋体" w:hAnsi="宋体" w:cs="Times New Roman" w:eastAsiaTheme="minorEastAsia"/>
          <w:b w:val="0"/>
          <w:bCs/>
          <w:kern w:val="0"/>
          <w:sz w:val="24"/>
          <w:szCs w:val="24"/>
          <w:lang w:eastAsia="zh-CN"/>
        </w:rPr>
        <w:t>总价进行下浮（下浮比以中选下浮</w:t>
      </w:r>
      <w:r>
        <w:rPr>
          <w:rFonts w:hint="eastAsia" w:ascii="宋体" w:hAnsi="宋体" w:cs="Times New Roman" w:eastAsiaTheme="minorEastAsia"/>
          <w:b w:val="0"/>
          <w:bCs/>
          <w:kern w:val="0"/>
          <w:sz w:val="24"/>
          <w:szCs w:val="24"/>
          <w:lang w:val="en-US" w:eastAsia="zh-CN"/>
        </w:rPr>
        <w:t>率</w:t>
      </w:r>
      <w:r>
        <w:rPr>
          <w:rFonts w:hint="eastAsia" w:ascii="宋体" w:hAnsi="宋体" w:cs="Times New Roman" w:eastAsiaTheme="minorEastAsia"/>
          <w:b w:val="0"/>
          <w:bCs/>
          <w:kern w:val="0"/>
          <w:sz w:val="24"/>
          <w:szCs w:val="24"/>
          <w:lang w:eastAsia="zh-CN"/>
        </w:rPr>
        <w:t>一致）。</w:t>
      </w:r>
    </w:p>
    <w:p w14:paraId="136A4432">
      <w:pPr>
        <w:widowControl/>
        <w:spacing w:line="360" w:lineRule="auto"/>
        <w:ind w:firstLine="482" w:firstLineChars="200"/>
        <w:jc w:val="left"/>
        <w:rPr>
          <w:rFonts w:hint="eastAsia" w:ascii="宋体" w:hAnsi="宋体" w:cs="Times New Roman" w:eastAsiaTheme="minorEastAsia"/>
          <w:b/>
          <w:bCs w:val="0"/>
          <w:kern w:val="0"/>
          <w:sz w:val="24"/>
          <w:szCs w:val="24"/>
          <w:lang w:val="en-US" w:eastAsia="zh-CN"/>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工程进度款支付：</w:t>
      </w:r>
      <w:r>
        <w:rPr>
          <w:rFonts w:hint="eastAsia" w:ascii="宋体" w:hAnsi="宋体" w:eastAsia="宋体" w:cs="宋体"/>
          <w:b/>
          <w:bCs/>
          <w:color w:val="auto"/>
          <w:sz w:val="24"/>
          <w:szCs w:val="24"/>
          <w:highlight w:val="none"/>
          <w:lang w:val="en-US" w:eastAsia="zh-CN"/>
        </w:rPr>
        <w:t>劳务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w:t>
      </w:r>
      <w:r>
        <w:rPr>
          <w:rFonts w:hint="eastAsia" w:ascii="宋体" w:hAnsi="宋体" w:eastAsia="宋体" w:cs="宋体"/>
          <w:b/>
          <w:bCs/>
          <w:color w:val="auto"/>
          <w:sz w:val="24"/>
          <w:szCs w:val="24"/>
          <w:highlight w:val="none"/>
        </w:rPr>
        <w:t>新增、变更工程按</w:t>
      </w:r>
      <w:r>
        <w:rPr>
          <w:rFonts w:hint="eastAsia" w:ascii="宋体" w:hAnsi="宋体" w:eastAsia="宋体" w:cs="宋体"/>
          <w:b/>
          <w:bCs/>
          <w:color w:val="auto"/>
          <w:sz w:val="24"/>
          <w:szCs w:val="24"/>
          <w:highlight w:val="none"/>
          <w:lang w:val="en-US" w:eastAsia="zh-CN"/>
        </w:rPr>
        <w:t>业主</w:t>
      </w:r>
      <w:r>
        <w:rPr>
          <w:rFonts w:hint="eastAsia" w:ascii="宋体" w:hAnsi="宋体" w:eastAsia="宋体" w:cs="宋体"/>
          <w:b/>
          <w:bCs/>
          <w:color w:val="auto"/>
          <w:sz w:val="24"/>
          <w:szCs w:val="24"/>
          <w:highlight w:val="none"/>
        </w:rPr>
        <w:t>审定的已完成产值的工程造价50%进行拨付，剩余部分待审计结束后支付至</w:t>
      </w:r>
      <w:r>
        <w:rPr>
          <w:rFonts w:hint="eastAsia" w:ascii="宋体" w:hAnsi="宋体" w:cs="Times New Roman" w:eastAsiaTheme="minorEastAsia"/>
          <w:b/>
          <w:bCs w:val="0"/>
          <w:kern w:val="0"/>
          <w:sz w:val="24"/>
          <w:szCs w:val="24"/>
          <w:lang w:val="en-US" w:eastAsia="zh-CN"/>
        </w:rPr>
        <w:t>结算总价的 97%，留3%作工程质量保修金。</w:t>
      </w:r>
    </w:p>
    <w:p w14:paraId="786CA2F8">
      <w:pPr>
        <w:widowControl/>
        <w:spacing w:line="360" w:lineRule="auto"/>
        <w:ind w:firstLine="482" w:firstLineChars="200"/>
        <w:jc w:val="left"/>
        <w:rPr>
          <w:rFonts w:hint="eastAsia" w:ascii="宋体" w:hAnsi="宋体" w:cs="Times New Roman" w:eastAsiaTheme="minorEastAsia"/>
          <w:b/>
          <w:bCs w:val="0"/>
          <w:kern w:val="0"/>
          <w:sz w:val="24"/>
          <w:szCs w:val="24"/>
          <w:lang w:val="en-US" w:eastAsia="zh-CN"/>
        </w:rPr>
      </w:pPr>
      <w:r>
        <w:rPr>
          <w:rFonts w:hint="eastAsia" w:ascii="宋体" w:hAnsi="宋体" w:cs="Times New Roman" w:eastAsiaTheme="minorEastAsia"/>
          <w:b/>
          <w:bCs w:val="0"/>
          <w:kern w:val="0"/>
          <w:sz w:val="24"/>
          <w:szCs w:val="24"/>
          <w:lang w:val="en-US" w:eastAsia="zh-CN"/>
        </w:rPr>
        <w:t>4.中选单位确定方式：</w:t>
      </w:r>
    </w:p>
    <w:p w14:paraId="129BA9A4">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本次招标采用“综合择优选取法”评审，根据报价、施工方案、人员配置等综合比较择优确定本项目合作单位。（详附表3）</w:t>
      </w:r>
    </w:p>
    <w:p w14:paraId="23C60EED">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综合评分法评标步骤：由评标小组进行符合性审查以及技术、商务的详细评审，按照评标程序、评分标准以及分值分配的规定，评标委员会成员分别就各个投标人的技术、商务状况，其对招标文件要求的响应情况进行评议和比较，综合得分相同的，按投标报价由低到高顺序排列。</w:t>
      </w:r>
    </w:p>
    <w:p w14:paraId="25BAB4D6">
      <w:pPr>
        <w:widowControl/>
        <w:spacing w:line="360" w:lineRule="auto"/>
        <w:ind w:firstLine="482" w:firstLineChars="200"/>
        <w:jc w:val="left"/>
        <w:rPr>
          <w:rFonts w:hint="eastAsia" w:ascii="宋体" w:hAnsi="宋体" w:cs="Times New Roman" w:eastAsiaTheme="minorEastAsia"/>
          <w:b/>
          <w:bCs w:val="0"/>
          <w:kern w:val="0"/>
          <w:sz w:val="24"/>
          <w:szCs w:val="24"/>
          <w:lang w:val="en-US" w:eastAsia="zh-CN"/>
        </w:rPr>
      </w:pPr>
      <w:r>
        <w:rPr>
          <w:rFonts w:hint="eastAsia" w:ascii="宋体" w:hAnsi="宋体" w:cs="Times New Roman" w:eastAsiaTheme="minorEastAsia"/>
          <w:b/>
          <w:bCs w:val="0"/>
          <w:kern w:val="0"/>
          <w:sz w:val="24"/>
          <w:szCs w:val="24"/>
          <w:lang w:val="en-US" w:eastAsia="zh-CN"/>
        </w:rPr>
        <w:t>5.定标</w:t>
      </w:r>
    </w:p>
    <w:p w14:paraId="55A580C2">
      <w:pPr>
        <w:widowControl/>
        <w:numPr>
          <w:ilvl w:val="0"/>
          <w:numId w:val="1"/>
        </w:numPr>
        <w:spacing w:line="360" w:lineRule="auto"/>
        <w:ind w:left="0" w:leftChars="0"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定标由招标人依据评标报告确认拟中标劳务单位，原则上应当确定排名第一的中标候选人为拟中标劳务单位。排名第一的中标候选人放弃中标、因不可抗力不能履行合同，或者被查实存在影响中标结果的违法行为等情形，不符合中标条件的，可以按照评审小组提出的中标候选人名单排序依次确认其他中标候选人为拟中标人，也可以重新招标。</w:t>
      </w:r>
    </w:p>
    <w:p w14:paraId="51167685">
      <w:pPr>
        <w:widowControl/>
        <w:numPr>
          <w:ilvl w:val="0"/>
          <w:numId w:val="1"/>
        </w:numPr>
        <w:spacing w:line="360" w:lineRule="auto"/>
        <w:ind w:left="0" w:leftChars="0"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若中标单位存在提供虚假资料或项目管理人员与实际现场不一致等违规行为，将取消其中标资格。取消一次限制3个月参与投标，从取消中标之日起计算。对累计两次被取消中标资格的中标单位，将予以清出劳务库处理。</w:t>
      </w:r>
    </w:p>
    <w:p w14:paraId="76B527D1">
      <w:pPr>
        <w:widowControl/>
        <w:numPr>
          <w:ilvl w:val="0"/>
          <w:numId w:val="1"/>
        </w:numPr>
        <w:spacing w:line="360" w:lineRule="auto"/>
        <w:ind w:left="0" w:leftChars="0"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中标单位需在中标公示期后5个工作日内缴纳5万元履约保证金。</w:t>
      </w:r>
    </w:p>
    <w:p w14:paraId="0CF9CD12">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6.公示</w:t>
      </w:r>
    </w:p>
    <w:p w14:paraId="29569258">
      <w:pPr>
        <w:widowControl/>
        <w:numPr>
          <w:ilvl w:val="0"/>
          <w:numId w:val="2"/>
        </w:numPr>
        <w:spacing w:line="360" w:lineRule="auto"/>
        <w:ind w:left="0" w:leftChars="0"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审查结束后在鹏安公司官网予以公示拟中标单位，公示期3天。</w:t>
      </w:r>
    </w:p>
    <w:p w14:paraId="53EDF6EA">
      <w:pPr>
        <w:widowControl/>
        <w:numPr>
          <w:ilvl w:val="0"/>
          <w:numId w:val="2"/>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lang w:val="en-US" w:eastAsia="zh-CN"/>
        </w:rPr>
        <w:t>投标人或者其他利害关系人对评标结果有异议的，应当在中标候选人公示期间以书面形式提出，由招标计价部组织回复，对中标结果造成实质性影响，且不能采取补救措施予以纠正的，招标、投标、中标无效，应当依法</w:t>
      </w:r>
      <w:r>
        <w:rPr>
          <w:rFonts w:hint="eastAsia" w:ascii="宋体" w:hAnsi="宋体" w:eastAsia="宋体" w:cs="宋体"/>
          <w:color w:val="auto"/>
          <w:kern w:val="2"/>
          <w:sz w:val="24"/>
          <w:szCs w:val="24"/>
          <w:highlight w:val="none"/>
          <w:lang w:val="en-US" w:eastAsia="zh-CN" w:bidi="ar-SA"/>
        </w:rPr>
        <w:t>重来自新招标或者评标。</w:t>
      </w:r>
    </w:p>
    <w:p w14:paraId="5D1914E4">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7.合同价格形式及工程结算：</w:t>
      </w:r>
    </w:p>
    <w:p w14:paraId="402C5649">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①工程费用按中标单价暂估，最终按业主审计结算价及审定工程量结合中标下浮率进行工程结算。工程费用包含人工费、机械费、措施费、劳保费、管理费、利润、辅材费、用工人员保险费、税金、安全文明施工费、规费等一切费用。</w:t>
      </w:r>
    </w:p>
    <w:p w14:paraId="79643E04">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②变更约定: 变更的工程费用经业主认可的工程结算造价下浮N%办理工程结算 (N为该分包的中标下浮率点)，结算价格中含人工费、机械费、措施费、劳保费、管理费、利润、辅材费用、用工人员保险费、税金等一切费用。</w:t>
      </w:r>
    </w:p>
    <w:p w14:paraId="7B871261">
      <w:pPr>
        <w:pStyle w:val="4"/>
        <w:widowControl/>
        <w:numPr>
          <w:ilvl w:val="0"/>
          <w:numId w:val="0"/>
        </w:numPr>
        <w:ind w:firstLine="480" w:firstLineChars="200"/>
        <w:rPr>
          <w:rFonts w:hint="eastAsia" w:ascii="宋体" w:hAnsi="宋体" w:eastAsia="宋体" w:cs="宋体"/>
          <w:color w:val="auto"/>
          <w:sz w:val="24"/>
          <w:szCs w:val="24"/>
          <w:highlight w:val="none"/>
        </w:rPr>
      </w:pPr>
      <w:r>
        <w:rPr>
          <w:rFonts w:hint="eastAsia" w:ascii="宋体" w:hAnsi="宋体" w:cs="Times New Roman" w:eastAsiaTheme="minorEastAsia"/>
          <w:b w:val="0"/>
          <w:bCs/>
          <w:kern w:val="0"/>
          <w:sz w:val="24"/>
          <w:szCs w:val="24"/>
          <w:lang w:val="en-US" w:eastAsia="zh-CN"/>
        </w:rPr>
        <w:t>③</w:t>
      </w:r>
      <w:r>
        <w:rPr>
          <w:rFonts w:hint="eastAsia" w:ascii="宋体" w:hAnsi="宋体" w:eastAsia="宋体" w:cs="宋体"/>
          <w:color w:val="auto"/>
          <w:sz w:val="24"/>
          <w:szCs w:val="24"/>
          <w:highlight w:val="none"/>
        </w:rPr>
        <w:t>中标单位进入工地现场，进行</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施工，如工程量发生变化，不论工程量增加或减少，中标单位都必须无条件服从，不得以任何理由向甲方进行索赔。</w:t>
      </w:r>
    </w:p>
    <w:p w14:paraId="6D4C579A">
      <w:pPr>
        <w:widowControl/>
        <w:spacing w:line="360" w:lineRule="auto"/>
        <w:ind w:firstLine="482" w:firstLineChars="200"/>
        <w:jc w:val="left"/>
        <w:rPr>
          <w:rFonts w:hint="eastAsia" w:ascii="宋体" w:hAnsi="宋体" w:cs="Times New Roman" w:eastAsiaTheme="minorEastAsia"/>
          <w:b/>
          <w:bCs w:val="0"/>
          <w:kern w:val="0"/>
          <w:sz w:val="24"/>
          <w:szCs w:val="24"/>
          <w:lang w:val="en-US" w:eastAsia="zh-CN"/>
        </w:rPr>
      </w:pPr>
      <w:r>
        <w:rPr>
          <w:rFonts w:hint="eastAsia" w:ascii="宋体" w:hAnsi="宋体" w:cs="Times New Roman" w:eastAsiaTheme="minorEastAsia"/>
          <w:b/>
          <w:bCs w:val="0"/>
          <w:kern w:val="0"/>
          <w:sz w:val="24"/>
          <w:szCs w:val="24"/>
          <w:lang w:val="en-US" w:eastAsia="zh-CN"/>
        </w:rPr>
        <w:t>三、标书要求及组成：</w:t>
      </w:r>
    </w:p>
    <w:p w14:paraId="7485D541">
      <w:pPr>
        <w:widowControl/>
        <w:spacing w:line="360" w:lineRule="auto"/>
        <w:ind w:firstLine="482" w:firstLineChars="200"/>
        <w:jc w:val="left"/>
        <w:rPr>
          <w:rFonts w:hint="eastAsia" w:ascii="宋体" w:hAnsi="宋体" w:cs="Times New Roman" w:eastAsiaTheme="minorEastAsia"/>
          <w:b/>
          <w:bCs w:val="0"/>
          <w:kern w:val="0"/>
          <w:sz w:val="24"/>
          <w:szCs w:val="24"/>
          <w:lang w:val="en-US" w:eastAsia="zh-CN"/>
        </w:rPr>
      </w:pPr>
      <w:r>
        <w:rPr>
          <w:rFonts w:hint="eastAsia" w:ascii="宋体" w:hAnsi="宋体" w:cs="Times New Roman" w:eastAsiaTheme="minorEastAsia"/>
          <w:b/>
          <w:bCs w:val="0"/>
          <w:kern w:val="0"/>
          <w:sz w:val="24"/>
          <w:szCs w:val="24"/>
          <w:lang w:val="en-US" w:eastAsia="zh-CN"/>
        </w:rPr>
        <w:t>1.标书要求</w:t>
      </w:r>
    </w:p>
    <w:p w14:paraId="7E1A01F0">
      <w:pPr>
        <w:widowControl/>
        <w:numPr>
          <w:ilvl w:val="0"/>
          <w:numId w:val="3"/>
        </w:numPr>
        <w:spacing w:line="360" w:lineRule="auto"/>
        <w:ind w:left="0" w:leftChars="0"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投标文件封面需注明项目名称，公司法人或授权人签字盖章，注明时间；</w:t>
      </w:r>
    </w:p>
    <w:p w14:paraId="4A531562">
      <w:pPr>
        <w:widowControl/>
        <w:numPr>
          <w:ilvl w:val="0"/>
          <w:numId w:val="3"/>
        </w:numPr>
        <w:spacing w:line="360" w:lineRule="auto"/>
        <w:ind w:left="0" w:leftChars="0"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标书密封：投标文件用文件袋装好，在文件袋封面上写明投标项目名称，投标公司全称、联系人及联系方式，加盖投标人公章，并在封口处加盖投标人公章或贴上投标人专用封条，确保标书不被篡改或泄露；</w:t>
      </w:r>
    </w:p>
    <w:p w14:paraId="115A56E5">
      <w:pPr>
        <w:widowControl/>
        <w:numPr>
          <w:ilvl w:val="0"/>
          <w:numId w:val="3"/>
        </w:numPr>
        <w:spacing w:line="360" w:lineRule="auto"/>
        <w:ind w:left="0" w:leftChars="0"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投标文件中所有资料需加盖鲜章。</w:t>
      </w:r>
    </w:p>
    <w:p w14:paraId="30F8A982">
      <w:pPr>
        <w:widowControl/>
        <w:spacing w:line="360" w:lineRule="auto"/>
        <w:ind w:firstLine="482" w:firstLineChars="200"/>
        <w:jc w:val="left"/>
        <w:rPr>
          <w:rFonts w:hint="eastAsia" w:ascii="宋体" w:hAnsi="宋体" w:cs="Times New Roman" w:eastAsiaTheme="minorEastAsia"/>
          <w:b/>
          <w:bCs w:val="0"/>
          <w:kern w:val="0"/>
          <w:sz w:val="24"/>
          <w:szCs w:val="24"/>
          <w:lang w:val="en-US" w:eastAsia="zh-CN"/>
        </w:rPr>
      </w:pPr>
      <w:r>
        <w:rPr>
          <w:rFonts w:hint="eastAsia" w:ascii="宋体" w:hAnsi="宋体" w:cs="Times New Roman" w:eastAsiaTheme="minorEastAsia"/>
          <w:b/>
          <w:bCs w:val="0"/>
          <w:kern w:val="0"/>
          <w:sz w:val="24"/>
          <w:szCs w:val="24"/>
          <w:lang w:val="en-US" w:eastAsia="zh-CN"/>
        </w:rPr>
        <w:t>2.投标文件组成要求</w:t>
      </w:r>
    </w:p>
    <w:p w14:paraId="5CCB1595">
      <w:pPr>
        <w:pStyle w:val="4"/>
        <w:numPr>
          <w:ilvl w:val="0"/>
          <w:numId w:val="0"/>
        </w:numPr>
        <w:ind w:left="480" w:leftChars="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u w:val="none"/>
          <w:lang w:val="en-US" w:eastAsia="zh-CN"/>
        </w:rPr>
        <w:t>①</w:t>
      </w:r>
      <w:r>
        <w:rPr>
          <w:rFonts w:hint="eastAsia" w:ascii="宋体" w:hAnsi="宋体" w:eastAsia="宋体" w:cs="宋体"/>
          <w:color w:val="auto"/>
          <w:sz w:val="24"/>
          <w:szCs w:val="24"/>
          <w:highlight w:val="none"/>
          <w:u w:val="none"/>
        </w:rPr>
        <w:t>项目报价表</w:t>
      </w:r>
      <w:r>
        <w:rPr>
          <w:rFonts w:hint="eastAsia" w:ascii="宋体" w:hAnsi="宋体" w:eastAsia="宋体" w:cs="宋体"/>
          <w:color w:val="auto"/>
          <w:sz w:val="24"/>
          <w:szCs w:val="24"/>
          <w:highlight w:val="none"/>
          <w:u w:val="none"/>
          <w:lang w:eastAsia="zh-CN"/>
        </w:rPr>
        <w:t>；</w:t>
      </w:r>
    </w:p>
    <w:p w14:paraId="6A9F0151">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②承诺书；</w:t>
      </w:r>
    </w:p>
    <w:p w14:paraId="7147F3D5">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③项目人员配置表；</w:t>
      </w:r>
    </w:p>
    <w:p w14:paraId="1CCBC5F6">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④施工方案（详附件三：综合评分表）；</w:t>
      </w:r>
    </w:p>
    <w:p w14:paraId="42E8E1B7">
      <w:pPr>
        <w:numPr>
          <w:ilvl w:val="0"/>
          <w:numId w:val="0"/>
        </w:numPr>
        <w:ind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⑤综合评分分值构成（100分）</w:t>
      </w:r>
    </w:p>
    <w:p w14:paraId="3A501EE8">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劳务</w:t>
      </w:r>
      <w:r>
        <w:rPr>
          <w:rFonts w:hint="eastAsia" w:ascii="宋体" w:hAnsi="宋体" w:eastAsia="宋体" w:cs="宋体"/>
          <w:sz w:val="24"/>
          <w:szCs w:val="24"/>
          <w:highlight w:val="none"/>
          <w:lang w:eastAsia="zh-CN"/>
        </w:rPr>
        <w:t>管理</w:t>
      </w:r>
      <w:r>
        <w:rPr>
          <w:rFonts w:hint="eastAsia" w:ascii="宋体" w:hAnsi="宋体" w:eastAsia="宋体" w:cs="宋体"/>
          <w:sz w:val="24"/>
          <w:szCs w:val="24"/>
          <w:highlight w:val="none"/>
          <w:lang w:val="en-US" w:eastAsia="zh-CN"/>
        </w:rPr>
        <w:t>人员配置</w:t>
      </w:r>
      <w:r>
        <w:rPr>
          <w:rFonts w:hint="eastAsia" w:ascii="宋体" w:hAnsi="宋体" w:eastAsia="宋体" w:cs="宋体"/>
          <w:sz w:val="24"/>
          <w:szCs w:val="24"/>
          <w:highlight w:val="none"/>
          <w:lang w:eastAsia="zh-CN"/>
        </w:rPr>
        <w:t>：</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b/>
          <w:color w:val="0070C0"/>
          <w:sz w:val="24"/>
          <w:szCs w:val="24"/>
          <w:highlight w:val="none"/>
          <w:u w:val="single"/>
          <w:lang w:val="en-US" w:eastAsia="zh-CN"/>
        </w:rPr>
        <w:t>15</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sz w:val="24"/>
          <w:szCs w:val="24"/>
          <w:highlight w:val="none"/>
          <w:lang w:eastAsia="zh-CN"/>
        </w:rPr>
        <w:t>分</w:t>
      </w:r>
    </w:p>
    <w:p w14:paraId="7DA8D7F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施工方案 ：</w:t>
      </w:r>
      <w:r>
        <w:rPr>
          <w:rFonts w:hint="eastAsia" w:ascii="宋体" w:hAnsi="宋体" w:eastAsia="宋体" w:cs="宋体"/>
          <w:sz w:val="24"/>
          <w:szCs w:val="24"/>
          <w:highlight w:val="none"/>
          <w:u w:val="single"/>
          <w:lang w:val="en-US" w:eastAsia="zh-CN"/>
        </w:rPr>
        <w:t xml:space="preserve">  15  </w:t>
      </w:r>
      <w:r>
        <w:rPr>
          <w:rFonts w:hint="eastAsia" w:ascii="宋体" w:hAnsi="宋体" w:eastAsia="宋体" w:cs="宋体"/>
          <w:sz w:val="24"/>
          <w:szCs w:val="24"/>
          <w:highlight w:val="none"/>
          <w:lang w:val="en-US" w:eastAsia="zh-CN"/>
        </w:rPr>
        <w:t>分</w:t>
      </w:r>
    </w:p>
    <w:p w14:paraId="22CAD35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业绩要求</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10 </w:t>
      </w:r>
      <w:r>
        <w:rPr>
          <w:rFonts w:hint="eastAsia" w:ascii="宋体" w:hAnsi="宋体" w:eastAsia="宋体" w:cs="宋体"/>
          <w:sz w:val="24"/>
          <w:szCs w:val="24"/>
          <w:highlight w:val="none"/>
          <w:lang w:val="en-US" w:eastAsia="zh-CN"/>
        </w:rPr>
        <w:t>分</w:t>
      </w:r>
    </w:p>
    <w:p w14:paraId="362AE148">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投标报价：</w:t>
      </w:r>
      <w:r>
        <w:rPr>
          <w:rFonts w:hint="eastAsia" w:ascii="宋体" w:hAnsi="宋体" w:eastAsia="宋体" w:cs="宋体"/>
          <w:b/>
          <w:color w:val="0070C0"/>
          <w:sz w:val="24"/>
          <w:szCs w:val="24"/>
          <w:highlight w:val="none"/>
          <w:u w:val="single"/>
          <w:lang w:eastAsia="zh-CN"/>
        </w:rPr>
        <w:t xml:space="preserve">   60  </w:t>
      </w:r>
      <w:r>
        <w:rPr>
          <w:rFonts w:hint="eastAsia" w:ascii="宋体" w:hAnsi="宋体" w:eastAsia="宋体" w:cs="宋体"/>
          <w:sz w:val="24"/>
          <w:szCs w:val="24"/>
          <w:highlight w:val="none"/>
          <w:lang w:eastAsia="zh-CN"/>
        </w:rPr>
        <w:t>分（不低于60分）</w:t>
      </w:r>
    </w:p>
    <w:p w14:paraId="00F27C9A">
      <w:pPr>
        <w:numPr>
          <w:ilvl w:val="0"/>
          <w:numId w:val="0"/>
        </w:numPr>
        <w:ind w:left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其他评分因素：</w:t>
      </w:r>
      <w:r>
        <w:rPr>
          <w:rFonts w:hint="eastAsia" w:ascii="宋体" w:hAnsi="宋体" w:eastAsia="宋体" w:cs="宋体"/>
          <w:b/>
          <w:color w:val="0070C0"/>
          <w:sz w:val="24"/>
          <w:szCs w:val="24"/>
          <w:highlight w:val="none"/>
          <w:u w:val="single"/>
          <w:lang w:eastAsia="zh-CN"/>
        </w:rPr>
        <w:t xml:space="preserve">   /  </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695A0467">
      <w:pPr>
        <w:widowControl/>
        <w:spacing w:line="360" w:lineRule="auto"/>
        <w:ind w:firstLine="482" w:firstLineChars="200"/>
        <w:jc w:val="left"/>
        <w:rPr>
          <w:rFonts w:hint="eastAsia" w:ascii="宋体" w:hAnsi="宋体" w:cs="Times New Roman" w:eastAsiaTheme="minorEastAsia"/>
          <w:b/>
          <w:bCs w:val="0"/>
          <w:kern w:val="0"/>
          <w:sz w:val="24"/>
          <w:szCs w:val="24"/>
          <w:lang w:val="en-US" w:eastAsia="zh-CN"/>
        </w:rPr>
      </w:pPr>
      <w:r>
        <w:rPr>
          <w:rFonts w:hint="eastAsia" w:ascii="宋体" w:hAnsi="宋体" w:cs="Times New Roman" w:eastAsiaTheme="minorEastAsia"/>
          <w:b/>
          <w:bCs w:val="0"/>
          <w:kern w:val="0"/>
          <w:sz w:val="24"/>
          <w:szCs w:val="24"/>
          <w:lang w:val="en-US" w:eastAsia="zh-CN"/>
        </w:rPr>
        <w:t>各报名单位严格按上述要求制作标书，若投标人未按招标文件的要求提供资料，或未对招标文件做出实质性响应，将导致投标文件被视为无效。</w:t>
      </w:r>
    </w:p>
    <w:p w14:paraId="3F9295F8">
      <w:pPr>
        <w:widowControl/>
        <w:spacing w:line="360" w:lineRule="auto"/>
        <w:ind w:firstLine="482" w:firstLineChars="200"/>
        <w:jc w:val="left"/>
        <w:rPr>
          <w:rFonts w:hint="eastAsia" w:ascii="宋体" w:hAnsi="宋体" w:cs="Times New Roman" w:eastAsiaTheme="minorEastAsia"/>
          <w:b/>
          <w:bCs w:val="0"/>
          <w:kern w:val="0"/>
          <w:sz w:val="24"/>
          <w:szCs w:val="24"/>
          <w:lang w:val="en-US" w:eastAsia="zh-CN"/>
        </w:rPr>
      </w:pPr>
      <w:r>
        <w:rPr>
          <w:rFonts w:hint="eastAsia" w:ascii="宋体" w:hAnsi="宋体" w:cs="Times New Roman" w:eastAsiaTheme="minorEastAsia"/>
          <w:b/>
          <w:bCs w:val="0"/>
          <w:kern w:val="0"/>
          <w:sz w:val="24"/>
          <w:szCs w:val="24"/>
          <w:lang w:val="en-US" w:eastAsia="zh-CN"/>
        </w:rPr>
        <w:t>四、以下情形之一招标人直接取消中标单位中标资格</w:t>
      </w:r>
    </w:p>
    <w:p w14:paraId="7E540F2A">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①中标人在中标通知书发出30日内，中标人无正当理由不与招标人订立合同；</w:t>
      </w:r>
    </w:p>
    <w:p w14:paraId="16B9B8B8">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②中标人在签订合同时向招标人提出附加条件；</w:t>
      </w:r>
    </w:p>
    <w:p w14:paraId="5EFE891A">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③经核查，存在弄虚作假、借资质、挂靠、围标、串标等违法违规行为的；</w:t>
      </w:r>
    </w:p>
    <w:p w14:paraId="06CC8FF0">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④投标人进行虚假、恶意投诉，阻碍招投标活动的正常进行的；</w:t>
      </w:r>
    </w:p>
    <w:p w14:paraId="772B481A">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⑤法律法规规定的其他情形。</w:t>
      </w:r>
    </w:p>
    <w:p w14:paraId="359AB274">
      <w:pPr>
        <w:pStyle w:val="4"/>
        <w:widowControl/>
        <w:numPr>
          <w:ilvl w:val="0"/>
          <w:numId w:val="0"/>
        </w:num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请愿意参加本次报价的单位于</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lang w:val="en-US" w:eastAsia="zh-CN"/>
        </w:rPr>
        <w:t>28</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上午11</w:t>
      </w:r>
      <w:r>
        <w:rPr>
          <w:rFonts w:hint="eastAsia" w:ascii="宋体" w:hAnsi="宋体" w:eastAsia="宋体" w:cs="宋体"/>
          <w:b/>
          <w:bCs/>
          <w:color w:val="auto"/>
          <w:sz w:val="24"/>
          <w:szCs w:val="24"/>
          <w:highlight w:val="none"/>
        </w:rPr>
        <w:t>点</w:t>
      </w:r>
      <w:r>
        <w:rPr>
          <w:rFonts w:hint="eastAsia" w:ascii="宋体" w:hAnsi="宋体" w:eastAsia="宋体" w:cs="宋体"/>
          <w:b/>
          <w:bCs/>
          <w:color w:val="auto"/>
          <w:sz w:val="24"/>
          <w:szCs w:val="24"/>
          <w:highlight w:val="none"/>
          <w:lang w:val="en-US" w:eastAsia="zh-CN"/>
        </w:rPr>
        <w:t>30分</w:t>
      </w:r>
      <w:r>
        <w:rPr>
          <w:rFonts w:hint="eastAsia" w:ascii="宋体" w:hAnsi="宋体" w:eastAsia="宋体" w:cs="宋体"/>
          <w:color w:val="auto"/>
          <w:sz w:val="24"/>
          <w:szCs w:val="24"/>
          <w:highlight w:val="none"/>
        </w:rPr>
        <w:t>前将加盖企业鲜章的投标文件递交我司(如需图纸请提前自行带U盘来公司拷贝)。递交地址：遂宁市安居区黄林路190号凤凰半岛三期一层商铺。我公司将于</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上午11</w:t>
      </w:r>
      <w:r>
        <w:rPr>
          <w:rFonts w:hint="eastAsia" w:ascii="宋体" w:hAnsi="宋体" w:eastAsia="宋体" w:cs="宋体"/>
          <w:color w:val="auto"/>
          <w:sz w:val="24"/>
          <w:szCs w:val="24"/>
          <w:highlight w:val="none"/>
        </w:rPr>
        <w:t>点</w:t>
      </w:r>
      <w:r>
        <w:rPr>
          <w:rFonts w:hint="eastAsia" w:ascii="宋体" w:hAnsi="宋体" w:eastAsia="宋体" w:cs="宋体"/>
          <w:color w:val="auto"/>
          <w:sz w:val="24"/>
          <w:szCs w:val="24"/>
          <w:highlight w:val="none"/>
          <w:lang w:val="en-US" w:eastAsia="zh-CN"/>
        </w:rPr>
        <w:t>30分</w:t>
      </w:r>
      <w:r>
        <w:rPr>
          <w:rFonts w:hint="eastAsia" w:ascii="宋体" w:hAnsi="宋体" w:eastAsia="宋体" w:cs="宋体"/>
          <w:color w:val="auto"/>
          <w:sz w:val="24"/>
          <w:szCs w:val="24"/>
          <w:highlight w:val="none"/>
        </w:rPr>
        <w:t>在鹏安公司</w:t>
      </w:r>
      <w:r>
        <w:rPr>
          <w:rFonts w:hint="eastAsia" w:ascii="宋体" w:hAnsi="宋体" w:eastAsia="宋体" w:cs="宋体"/>
          <w:color w:val="auto"/>
          <w:sz w:val="24"/>
          <w:szCs w:val="24"/>
          <w:highlight w:val="none"/>
          <w:lang w:val="en-US" w:eastAsia="zh-CN"/>
        </w:rPr>
        <w:t>二楼</w:t>
      </w:r>
      <w:r>
        <w:rPr>
          <w:rFonts w:hint="eastAsia" w:ascii="宋体" w:hAnsi="宋体" w:eastAsia="宋体" w:cs="宋体"/>
          <w:color w:val="auto"/>
          <w:sz w:val="24"/>
          <w:szCs w:val="24"/>
          <w:highlight w:val="none"/>
        </w:rPr>
        <w:t>会议室统一拆封所有报价资料，报价单位必须到场参加。未现场递交或逾期递交视为自动放弃（若开选时，参选单位不足三家或资格审查通过单位不足三家，则视为本次比选无效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中标单位不同项目不同标段人员配置不得重复，否则视为自动放弃，则由第二顺位单位中标。中选单位相同项目不同项目人员配置重复的，由招标人确认中标标段，另一标段由第二顺位单位中标。</w:t>
      </w:r>
      <w:r>
        <w:rPr>
          <w:rFonts w:hint="eastAsia" w:ascii="宋体" w:hAnsi="宋体" w:eastAsia="宋体" w:cs="宋体"/>
          <w:color w:val="auto"/>
          <w:sz w:val="24"/>
          <w:szCs w:val="24"/>
          <w:highlight w:val="none"/>
        </w:rPr>
        <w:t>）联系人：唐先生，联系电话：</w:t>
      </w:r>
      <w:r>
        <w:rPr>
          <w:rFonts w:hint="eastAsia" w:ascii="宋体" w:hAnsi="宋体" w:eastAsia="宋体" w:cs="宋体"/>
          <w:color w:val="auto"/>
          <w:sz w:val="24"/>
          <w:szCs w:val="24"/>
          <w:highlight w:val="none"/>
          <w:lang w:val="en-US" w:eastAsia="zh-CN"/>
        </w:rPr>
        <w:t>0825-8666908。</w:t>
      </w:r>
    </w:p>
    <w:p w14:paraId="32CF895D">
      <w:pPr>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附件：</w:t>
      </w:r>
    </w:p>
    <w:p w14:paraId="780BB929">
      <w:pPr>
        <w:widowControl/>
        <w:spacing w:line="360" w:lineRule="auto"/>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1.承诺书；</w:t>
      </w:r>
    </w:p>
    <w:p w14:paraId="3D3AACC3">
      <w:pPr>
        <w:widowControl/>
        <w:spacing w:line="360" w:lineRule="auto"/>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2.项目人员岗位配置一览表；</w:t>
      </w:r>
    </w:p>
    <w:p w14:paraId="01E39A5C">
      <w:pPr>
        <w:widowControl/>
        <w:spacing w:line="360" w:lineRule="auto"/>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3.综合评分表；</w:t>
      </w:r>
    </w:p>
    <w:p w14:paraId="4EED8BD0">
      <w:pPr>
        <w:widowControl/>
        <w:spacing w:line="360" w:lineRule="auto"/>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4.项目报价表；</w:t>
      </w:r>
      <w:bookmarkStart w:id="0" w:name="_GoBack"/>
      <w:bookmarkEnd w:id="0"/>
    </w:p>
    <w:p w14:paraId="1E37EDB5">
      <w:pPr>
        <w:widowControl/>
        <w:spacing w:line="360" w:lineRule="auto"/>
        <w:jc w:val="left"/>
        <w:rPr>
          <w:rFonts w:hint="eastAsia" w:ascii="宋体" w:hAnsi="宋体" w:eastAsia="宋体" w:cs="宋体"/>
          <w:color w:val="auto"/>
          <w:sz w:val="24"/>
          <w:szCs w:val="24"/>
          <w:highlight w:val="none"/>
          <w:u w:val="none"/>
          <w:lang w:val="en-US" w:eastAsia="zh-CN"/>
        </w:rPr>
      </w:pPr>
      <w:r>
        <w:rPr>
          <w:rFonts w:hint="eastAsia" w:ascii="宋体" w:hAnsi="宋体" w:cs="Times New Roman" w:eastAsiaTheme="minorEastAsia"/>
          <w:b w:val="0"/>
          <w:bCs/>
          <w:kern w:val="0"/>
          <w:sz w:val="24"/>
          <w:szCs w:val="24"/>
          <w:lang w:val="en-US" w:eastAsia="zh-CN"/>
        </w:rPr>
        <w:t>5.项目清单。</w:t>
      </w:r>
    </w:p>
    <w:p w14:paraId="7C7ECEE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遂宁市鹏安投资有限公司</w:t>
      </w:r>
      <w:r>
        <w:rPr>
          <w:rFonts w:hint="eastAsia" w:ascii="宋体" w:hAnsi="宋体" w:eastAsia="宋体" w:cs="宋体"/>
          <w:color w:val="auto"/>
          <w:sz w:val="24"/>
          <w:szCs w:val="24"/>
          <w:highlight w:val="none"/>
          <w:lang w:val="en-US" w:eastAsia="zh-CN"/>
        </w:rPr>
        <w:t xml:space="preserve">    </w:t>
      </w:r>
    </w:p>
    <w:p w14:paraId="25F948D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宋体" w:hAnsi="宋体" w:eastAsia="宋体" w:cs="宋体"/>
          <w:color w:val="auto"/>
          <w:sz w:val="24"/>
          <w:szCs w:val="24"/>
          <w:highlight w:val="none"/>
          <w:lang w:val="en-US" w:eastAsia="zh-CN"/>
        </w:rPr>
        <w:t xml:space="preserve">                                              2025</w:t>
      </w:r>
      <w:r>
        <w:rPr>
          <w:rFonts w:hint="eastAsia" w:ascii="宋体" w:hAnsi="宋体" w:eastAsia="宋体" w:cs="宋体"/>
          <w:b w:val="0"/>
          <w:bCs w:val="0"/>
          <w:color w:val="auto"/>
          <w:sz w:val="24"/>
          <w:szCs w:val="24"/>
          <w:highlight w:val="none"/>
          <w:lang w:val="en-US" w:eastAsia="zh-CN"/>
        </w:rPr>
        <w:t>年7月2</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日</w:t>
      </w:r>
      <w:r>
        <w:rPr>
          <w:rFonts w:hint="eastAsia" w:ascii="宋体" w:hAnsi="宋体" w:eastAsia="宋体" w:cs="宋体"/>
          <w:color w:val="auto"/>
          <w:sz w:val="24"/>
          <w:szCs w:val="24"/>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p>
    <w:p w14:paraId="7D831D46">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F111ED1">
      <w:pPr>
        <w:pStyle w:val="13"/>
        <w:outlineLvl w:val="0"/>
        <w:rPr>
          <w:rFonts w:hint="eastAsia"/>
          <w:b/>
          <w:bCs/>
          <w:color w:val="auto"/>
          <w:sz w:val="44"/>
          <w:szCs w:val="44"/>
          <w:highlight w:val="none"/>
          <w:lang w:eastAsia="zh-CN"/>
        </w:rPr>
      </w:pPr>
      <w:r>
        <w:rPr>
          <w:color w:val="auto"/>
          <w:highlight w:val="none"/>
        </w:rPr>
        <w:t>承诺书</w:t>
      </w:r>
    </w:p>
    <w:p w14:paraId="50D8444C">
      <w:pPr>
        <w:keepNext w:val="0"/>
        <w:keepLines w:val="0"/>
        <w:widowControl w:val="0"/>
        <w:numPr>
          <w:ilvl w:val="0"/>
          <w:numId w:val="4"/>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A0C00DA">
      <w:pPr>
        <w:pStyle w:val="4"/>
        <w:numPr>
          <w:ilvl w:val="0"/>
          <w:numId w:val="5"/>
        </w:numPr>
        <w:ind w:left="0" w:leftChars="0" w:firstLine="480" w:firstLineChars="0"/>
        <w:rPr>
          <w:b w:val="0"/>
          <w:color w:val="auto"/>
          <w:highlight w:val="none"/>
        </w:rPr>
      </w:pPr>
      <w:r>
        <w:rPr>
          <w:color w:val="auto"/>
          <w:highlight w:val="none"/>
        </w:rPr>
        <w:t>规划：制定详细施工方案，确保按期完成。</w:t>
      </w:r>
    </w:p>
    <w:p w14:paraId="4CDB2DFB">
      <w:pPr>
        <w:pStyle w:val="4"/>
        <w:numPr>
          <w:ilvl w:val="0"/>
          <w:numId w:val="5"/>
        </w:numPr>
        <w:ind w:left="0" w:leftChars="0" w:firstLine="480" w:firstLineChars="0"/>
        <w:rPr>
          <w:b w:val="0"/>
          <w:color w:val="auto"/>
          <w:highlight w:val="none"/>
        </w:rPr>
      </w:pPr>
      <w:r>
        <w:rPr>
          <w:color w:val="auto"/>
          <w:highlight w:val="none"/>
        </w:rPr>
        <w:t>技术：采用先进技术，提高施工效率。</w:t>
      </w:r>
    </w:p>
    <w:p w14:paraId="7F480100">
      <w:pPr>
        <w:pStyle w:val="4"/>
        <w:numPr>
          <w:ilvl w:val="0"/>
          <w:numId w:val="5"/>
        </w:numPr>
        <w:ind w:left="0" w:leftChars="0" w:firstLine="480" w:firstLineChars="0"/>
        <w:rPr>
          <w:b w:val="0"/>
          <w:color w:val="auto"/>
          <w:highlight w:val="none"/>
        </w:rPr>
      </w:pPr>
      <w:r>
        <w:rPr>
          <w:color w:val="auto"/>
          <w:highlight w:val="none"/>
        </w:rPr>
        <w:t>安全：严格安全保障措施，确保人员和设备安全。</w:t>
      </w:r>
    </w:p>
    <w:p w14:paraId="6A525B7A">
      <w:pPr>
        <w:pStyle w:val="4"/>
        <w:numPr>
          <w:ilvl w:val="0"/>
          <w:numId w:val="5"/>
        </w:numPr>
        <w:ind w:left="0" w:leftChars="0" w:firstLine="480" w:firstLineChars="0"/>
        <w:rPr>
          <w:b w:val="0"/>
          <w:color w:val="auto"/>
          <w:highlight w:val="none"/>
        </w:rPr>
      </w:pPr>
      <w:r>
        <w:rPr>
          <w:color w:val="auto"/>
          <w:highlight w:val="none"/>
        </w:rPr>
        <w:t>环保：遵守环保法规，保护环境。</w:t>
      </w:r>
    </w:p>
    <w:p w14:paraId="3F598276">
      <w:pPr>
        <w:keepNext w:val="0"/>
        <w:keepLines w:val="0"/>
        <w:widowControl w:val="0"/>
        <w:numPr>
          <w:ilvl w:val="0"/>
          <w:numId w:val="4"/>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93606BD">
      <w:pPr>
        <w:pStyle w:val="4"/>
        <w:numPr>
          <w:ilvl w:val="0"/>
          <w:numId w:val="6"/>
        </w:numPr>
        <w:ind w:left="0" w:leftChars="0" w:firstLine="480" w:firstLineChars="0"/>
        <w:rPr>
          <w:b w:val="0"/>
          <w:color w:val="auto"/>
          <w:highlight w:val="none"/>
        </w:rPr>
      </w:pPr>
      <w:r>
        <w:rPr>
          <w:color w:val="auto"/>
          <w:highlight w:val="none"/>
        </w:rPr>
        <w:t>资质：具备相应劳务分包资质。</w:t>
      </w:r>
    </w:p>
    <w:p w14:paraId="3FA0527E">
      <w:pPr>
        <w:pStyle w:val="4"/>
        <w:numPr>
          <w:ilvl w:val="0"/>
          <w:numId w:val="6"/>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3F29AA87">
      <w:pPr>
        <w:pStyle w:val="4"/>
        <w:numPr>
          <w:ilvl w:val="0"/>
          <w:numId w:val="6"/>
        </w:numPr>
        <w:ind w:left="0" w:leftChars="0" w:firstLine="480" w:firstLineChars="0"/>
        <w:rPr>
          <w:b w:val="0"/>
          <w:color w:val="auto"/>
          <w:highlight w:val="none"/>
        </w:rPr>
      </w:pPr>
      <w:r>
        <w:rPr>
          <w:color w:val="auto"/>
          <w:highlight w:val="none"/>
        </w:rPr>
        <w:t>材料：按合同要求采购材料，确保质量。</w:t>
      </w:r>
    </w:p>
    <w:p w14:paraId="4595829A">
      <w:pPr>
        <w:pStyle w:val="4"/>
        <w:numPr>
          <w:ilvl w:val="0"/>
          <w:numId w:val="6"/>
        </w:numPr>
        <w:ind w:left="0" w:leftChars="0" w:firstLine="480" w:firstLineChars="0"/>
        <w:rPr>
          <w:b w:val="0"/>
          <w:color w:val="auto"/>
          <w:highlight w:val="none"/>
        </w:rPr>
      </w:pPr>
      <w:r>
        <w:rPr>
          <w:color w:val="auto"/>
          <w:highlight w:val="none"/>
        </w:rPr>
        <w:t>质量：恪守设计方案和合同，保证工程质量。</w:t>
      </w:r>
    </w:p>
    <w:p w14:paraId="4C645DC4">
      <w:pPr>
        <w:pStyle w:val="4"/>
        <w:numPr>
          <w:ilvl w:val="0"/>
          <w:numId w:val="6"/>
        </w:numPr>
        <w:ind w:left="0" w:leftChars="0" w:firstLine="480" w:firstLineChars="0"/>
        <w:rPr>
          <w:b w:val="0"/>
          <w:color w:val="auto"/>
          <w:highlight w:val="none"/>
        </w:rPr>
      </w:pPr>
      <w:r>
        <w:rPr>
          <w:color w:val="auto"/>
          <w:highlight w:val="none"/>
        </w:rPr>
        <w:t>合作：善意合作，与各方建立友好关系。</w:t>
      </w:r>
    </w:p>
    <w:p w14:paraId="67D7989C">
      <w:pPr>
        <w:keepNext w:val="0"/>
        <w:keepLines w:val="0"/>
        <w:widowControl w:val="0"/>
        <w:numPr>
          <w:ilvl w:val="0"/>
          <w:numId w:val="4"/>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261F43AB">
      <w:pPr>
        <w:pStyle w:val="4"/>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03AAA5CC">
      <w:pPr>
        <w:keepNext w:val="0"/>
        <w:keepLines w:val="0"/>
        <w:widowControl w:val="0"/>
        <w:numPr>
          <w:ilvl w:val="0"/>
          <w:numId w:val="4"/>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4"/>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728A8296">
      <w:pPr>
        <w:ind w:firstLine="2880" w:firstLineChars="1200"/>
        <w:rPr>
          <w:rFonts w:hint="eastAsia" w:ascii="Times New Roman" w:hAnsi="Times New Roman" w:eastAsia="宋体" w:cs="Times New Roman"/>
          <w:color w:val="auto"/>
          <w:sz w:val="24"/>
          <w:szCs w:val="30"/>
          <w:highlight w:val="none"/>
          <w:lang w:eastAsia="zh-CN"/>
        </w:rPr>
      </w:pPr>
    </w:p>
    <w:p w14:paraId="16670576">
      <w:pPr>
        <w:rPr>
          <w:rFonts w:hint="eastAsia" w:ascii="Times New Roman" w:hAnsi="Times New Roman" w:eastAsia="宋体" w:cs="Times New Roman"/>
          <w:color w:val="auto"/>
          <w:sz w:val="24"/>
          <w:szCs w:val="30"/>
          <w:highlight w:val="none"/>
          <w:lang w:eastAsia="zh-CN"/>
        </w:rPr>
      </w:pPr>
    </w:p>
    <w:p w14:paraId="46038F91">
      <w:pPr>
        <w:ind w:firstLine="3600" w:firstLineChars="15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人：[公司法人或负责人签名]</w:t>
      </w:r>
    </w:p>
    <w:p w14:paraId="4AD8A0D7">
      <w:pPr>
        <w:ind w:firstLine="3600" w:firstLineChars="1500"/>
        <w:rPr>
          <w:rFonts w:hint="eastAsia" w:ascii="Times New Roman" w:hAnsi="Times New Roman" w:eastAsia="宋体" w:cs="Times New Roman"/>
          <w:color w:val="auto"/>
          <w:sz w:val="24"/>
          <w:szCs w:val="30"/>
          <w:highlight w:val="none"/>
          <w:lang w:eastAsia="zh-CN"/>
        </w:rPr>
      </w:pPr>
    </w:p>
    <w:p w14:paraId="596C8605">
      <w:pPr>
        <w:ind w:firstLine="3600" w:firstLineChars="15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4"/>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198A1D5A">
      <w:pPr>
        <w:pStyle w:val="8"/>
        <w:ind w:left="0" w:leftChars="0" w:firstLine="0" w:firstLineChars="0"/>
        <w:rPr>
          <w:rFonts w:hint="eastAsia" w:ascii="宋体" w:hAnsi="宋体" w:eastAsia="宋体" w:cs="宋体"/>
          <w:b/>
          <w:bCs/>
          <w:color w:val="auto"/>
          <w:sz w:val="24"/>
          <w:szCs w:val="24"/>
          <w:highlight w:val="none"/>
          <w:lang w:val="en-US" w:eastAsia="zh-CN"/>
        </w:rPr>
      </w:pPr>
    </w:p>
    <w:p w14:paraId="258307D6">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p>
    <w:p w14:paraId="0F5CF65B">
      <w:pPr>
        <w:spacing w:line="480" w:lineRule="auto"/>
        <w:ind w:left="0" w:leftChars="0"/>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p>
    <w:p w14:paraId="1082BDF4">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附市政二级建造师或市政施工员与安全员证书以及各人员劳动合同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797"/>
        <w:gridCol w:w="1984"/>
        <w:gridCol w:w="2857"/>
      </w:tblGrid>
      <w:tr w14:paraId="607BA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81DB9A">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cs="宋体"/>
                <w:color w:val="auto"/>
                <w:sz w:val="24"/>
                <w:szCs w:val="24"/>
                <w:highlight w:val="none"/>
                <w:lang w:val="en-US"/>
              </w:rPr>
              <w:t>岗位</w:t>
            </w:r>
          </w:p>
        </w:tc>
        <w:tc>
          <w:tcPr>
            <w:tcW w:w="1575" w:type="dxa"/>
            <w:vAlign w:val="center"/>
          </w:tcPr>
          <w:p w14:paraId="1068F09D">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cs="宋体"/>
                <w:color w:val="auto"/>
                <w:sz w:val="24"/>
                <w:szCs w:val="24"/>
                <w:highlight w:val="none"/>
                <w:lang w:val="en-US"/>
              </w:rPr>
              <w:t>姓名</w:t>
            </w:r>
          </w:p>
        </w:tc>
        <w:tc>
          <w:tcPr>
            <w:tcW w:w="1797" w:type="dxa"/>
            <w:vAlign w:val="center"/>
          </w:tcPr>
          <w:p w14:paraId="3A1F616A">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1984" w:type="dxa"/>
            <w:vAlign w:val="center"/>
          </w:tcPr>
          <w:p w14:paraId="01DFF1B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c>
          <w:tcPr>
            <w:tcW w:w="2857" w:type="dxa"/>
            <w:vAlign w:val="center"/>
          </w:tcPr>
          <w:p w14:paraId="4739F8C8">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cs="宋体"/>
                <w:color w:val="auto"/>
                <w:sz w:val="24"/>
                <w:szCs w:val="24"/>
                <w:highlight w:val="none"/>
                <w:lang w:val="en-US"/>
              </w:rPr>
              <w:t>联系电话</w:t>
            </w:r>
          </w:p>
        </w:tc>
      </w:tr>
      <w:tr w14:paraId="3D9F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BCB55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279942B">
            <w:pPr>
              <w:spacing w:line="480" w:lineRule="auto"/>
              <w:ind w:left="0" w:leftChars="0"/>
              <w:jc w:val="center"/>
              <w:rPr>
                <w:rStyle w:val="14"/>
                <w:rFonts w:hint="eastAsia" w:ascii="宋体" w:hAnsi="宋体" w:eastAsia="宋体" w:cs="宋体"/>
                <w:color w:val="auto"/>
                <w:sz w:val="24"/>
                <w:szCs w:val="24"/>
                <w:highlight w:val="none"/>
              </w:rPr>
            </w:pPr>
          </w:p>
        </w:tc>
        <w:tc>
          <w:tcPr>
            <w:tcW w:w="1797" w:type="dxa"/>
            <w:vAlign w:val="center"/>
          </w:tcPr>
          <w:p w14:paraId="3917E61D">
            <w:pPr>
              <w:spacing w:line="480" w:lineRule="auto"/>
              <w:ind w:left="0" w:leftChars="0"/>
              <w:jc w:val="center"/>
              <w:rPr>
                <w:rStyle w:val="14"/>
                <w:rFonts w:hint="eastAsia" w:ascii="宋体" w:hAnsi="宋体" w:eastAsia="宋体" w:cs="宋体"/>
                <w:color w:val="auto"/>
                <w:sz w:val="24"/>
                <w:szCs w:val="24"/>
                <w:highlight w:val="none"/>
              </w:rPr>
            </w:pPr>
          </w:p>
        </w:tc>
        <w:tc>
          <w:tcPr>
            <w:tcW w:w="1984" w:type="dxa"/>
            <w:vAlign w:val="center"/>
          </w:tcPr>
          <w:p w14:paraId="4BB4954D">
            <w:pPr>
              <w:spacing w:line="480" w:lineRule="auto"/>
              <w:ind w:left="0" w:leftChars="0"/>
              <w:jc w:val="center"/>
              <w:rPr>
                <w:rStyle w:val="14"/>
                <w:rFonts w:hint="eastAsia" w:ascii="宋体" w:hAnsi="宋体" w:eastAsia="宋体" w:cs="宋体"/>
                <w:color w:val="auto"/>
                <w:sz w:val="24"/>
                <w:szCs w:val="24"/>
                <w:highlight w:val="none"/>
              </w:rPr>
            </w:pPr>
          </w:p>
        </w:tc>
        <w:tc>
          <w:tcPr>
            <w:tcW w:w="2857" w:type="dxa"/>
            <w:vAlign w:val="center"/>
          </w:tcPr>
          <w:p w14:paraId="30366ADD">
            <w:pPr>
              <w:spacing w:line="480" w:lineRule="auto"/>
              <w:ind w:left="0" w:leftChars="0"/>
              <w:jc w:val="center"/>
              <w:rPr>
                <w:rStyle w:val="14"/>
                <w:rFonts w:hint="eastAsia" w:ascii="宋体" w:hAnsi="宋体" w:eastAsia="宋体" w:cs="宋体"/>
                <w:color w:val="auto"/>
                <w:sz w:val="24"/>
                <w:szCs w:val="24"/>
                <w:highlight w:val="none"/>
              </w:rPr>
            </w:pPr>
          </w:p>
        </w:tc>
      </w:tr>
      <w:tr w14:paraId="00DF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4D01802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9897F49">
            <w:pPr>
              <w:spacing w:line="480" w:lineRule="auto"/>
              <w:ind w:left="0" w:leftChars="0"/>
              <w:jc w:val="center"/>
              <w:rPr>
                <w:rStyle w:val="14"/>
                <w:rFonts w:hint="eastAsia" w:ascii="宋体" w:hAnsi="宋体" w:eastAsia="宋体" w:cs="宋体"/>
                <w:color w:val="auto"/>
                <w:sz w:val="24"/>
                <w:szCs w:val="24"/>
                <w:highlight w:val="none"/>
              </w:rPr>
            </w:pPr>
          </w:p>
        </w:tc>
        <w:tc>
          <w:tcPr>
            <w:tcW w:w="1797" w:type="dxa"/>
            <w:vAlign w:val="center"/>
          </w:tcPr>
          <w:p w14:paraId="08D812FD">
            <w:pPr>
              <w:spacing w:line="480" w:lineRule="auto"/>
              <w:ind w:left="0" w:leftChars="0"/>
              <w:jc w:val="center"/>
              <w:rPr>
                <w:rStyle w:val="14"/>
                <w:rFonts w:hint="eastAsia" w:ascii="宋体" w:hAnsi="宋体" w:eastAsia="宋体" w:cs="宋体"/>
                <w:color w:val="auto"/>
                <w:sz w:val="24"/>
                <w:szCs w:val="24"/>
                <w:highlight w:val="none"/>
              </w:rPr>
            </w:pPr>
          </w:p>
        </w:tc>
        <w:tc>
          <w:tcPr>
            <w:tcW w:w="1984" w:type="dxa"/>
            <w:vAlign w:val="center"/>
          </w:tcPr>
          <w:p w14:paraId="650F0B42">
            <w:pPr>
              <w:spacing w:line="480" w:lineRule="auto"/>
              <w:ind w:left="0" w:leftChars="0"/>
              <w:jc w:val="center"/>
              <w:rPr>
                <w:rStyle w:val="14"/>
                <w:rFonts w:hint="eastAsia" w:ascii="宋体" w:hAnsi="宋体" w:eastAsia="宋体" w:cs="宋体"/>
                <w:color w:val="auto"/>
                <w:sz w:val="24"/>
                <w:szCs w:val="24"/>
                <w:highlight w:val="none"/>
              </w:rPr>
            </w:pPr>
          </w:p>
        </w:tc>
        <w:tc>
          <w:tcPr>
            <w:tcW w:w="2857" w:type="dxa"/>
            <w:vAlign w:val="center"/>
          </w:tcPr>
          <w:p w14:paraId="08AAB641">
            <w:pPr>
              <w:spacing w:line="480" w:lineRule="auto"/>
              <w:ind w:left="0" w:leftChars="0"/>
              <w:jc w:val="center"/>
              <w:rPr>
                <w:rStyle w:val="14"/>
                <w:rFonts w:hint="eastAsia" w:ascii="宋体" w:hAnsi="宋体" w:eastAsia="宋体" w:cs="宋体"/>
                <w:color w:val="auto"/>
                <w:sz w:val="24"/>
                <w:szCs w:val="24"/>
                <w:highlight w:val="none"/>
              </w:rPr>
            </w:pPr>
          </w:p>
        </w:tc>
      </w:tr>
      <w:tr w14:paraId="217C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12EA468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5F7ACAA">
            <w:pPr>
              <w:spacing w:line="480" w:lineRule="auto"/>
              <w:ind w:left="0" w:leftChars="0"/>
              <w:jc w:val="center"/>
              <w:rPr>
                <w:rStyle w:val="14"/>
                <w:rFonts w:hint="eastAsia" w:ascii="宋体" w:hAnsi="宋体" w:eastAsia="宋体" w:cs="宋体"/>
                <w:color w:val="auto"/>
                <w:sz w:val="24"/>
                <w:szCs w:val="24"/>
                <w:highlight w:val="none"/>
              </w:rPr>
            </w:pPr>
          </w:p>
        </w:tc>
        <w:tc>
          <w:tcPr>
            <w:tcW w:w="1797" w:type="dxa"/>
            <w:vAlign w:val="center"/>
          </w:tcPr>
          <w:p w14:paraId="4246E933">
            <w:pPr>
              <w:spacing w:line="480" w:lineRule="auto"/>
              <w:ind w:left="0" w:leftChars="0"/>
              <w:jc w:val="center"/>
              <w:rPr>
                <w:rStyle w:val="14"/>
                <w:rFonts w:hint="eastAsia" w:ascii="宋体" w:hAnsi="宋体" w:eastAsia="宋体" w:cs="宋体"/>
                <w:color w:val="auto"/>
                <w:sz w:val="24"/>
                <w:szCs w:val="24"/>
                <w:highlight w:val="none"/>
              </w:rPr>
            </w:pPr>
          </w:p>
        </w:tc>
        <w:tc>
          <w:tcPr>
            <w:tcW w:w="1984" w:type="dxa"/>
            <w:vAlign w:val="center"/>
          </w:tcPr>
          <w:p w14:paraId="7B92666A">
            <w:pPr>
              <w:spacing w:line="480" w:lineRule="auto"/>
              <w:ind w:left="0" w:leftChars="0"/>
              <w:jc w:val="center"/>
              <w:rPr>
                <w:rStyle w:val="14"/>
                <w:rFonts w:hint="eastAsia" w:ascii="宋体" w:hAnsi="宋体" w:eastAsia="宋体" w:cs="宋体"/>
                <w:color w:val="auto"/>
                <w:sz w:val="24"/>
                <w:szCs w:val="24"/>
                <w:highlight w:val="none"/>
              </w:rPr>
            </w:pPr>
          </w:p>
        </w:tc>
        <w:tc>
          <w:tcPr>
            <w:tcW w:w="2857" w:type="dxa"/>
            <w:vAlign w:val="center"/>
          </w:tcPr>
          <w:p w14:paraId="4E129694">
            <w:pPr>
              <w:pStyle w:val="15"/>
              <w:spacing w:line="480" w:lineRule="auto"/>
              <w:jc w:val="center"/>
              <w:rPr>
                <w:rStyle w:val="14"/>
                <w:rFonts w:hint="eastAsia" w:ascii="宋体" w:hAnsi="宋体" w:eastAsia="宋体" w:cs="宋体"/>
                <w:color w:val="auto"/>
                <w:sz w:val="24"/>
                <w:szCs w:val="24"/>
                <w:highlight w:val="none"/>
              </w:rPr>
            </w:pPr>
          </w:p>
        </w:tc>
      </w:tr>
      <w:tr w14:paraId="31FA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348FE566">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C966D05">
            <w:pPr>
              <w:spacing w:line="480" w:lineRule="auto"/>
              <w:ind w:left="0" w:leftChars="0"/>
              <w:jc w:val="center"/>
              <w:rPr>
                <w:rStyle w:val="14"/>
                <w:rFonts w:hint="eastAsia" w:ascii="宋体" w:hAnsi="宋体" w:eastAsia="宋体" w:cs="宋体"/>
                <w:color w:val="auto"/>
                <w:sz w:val="24"/>
                <w:szCs w:val="24"/>
                <w:highlight w:val="none"/>
              </w:rPr>
            </w:pPr>
          </w:p>
        </w:tc>
        <w:tc>
          <w:tcPr>
            <w:tcW w:w="1797" w:type="dxa"/>
            <w:vAlign w:val="center"/>
          </w:tcPr>
          <w:p w14:paraId="55C274D2">
            <w:pPr>
              <w:spacing w:line="480" w:lineRule="auto"/>
              <w:ind w:left="0" w:leftChars="0"/>
              <w:jc w:val="center"/>
              <w:rPr>
                <w:rStyle w:val="14"/>
                <w:rFonts w:hint="eastAsia" w:ascii="宋体" w:hAnsi="宋体" w:eastAsia="宋体" w:cs="宋体"/>
                <w:color w:val="auto"/>
                <w:sz w:val="24"/>
                <w:szCs w:val="24"/>
                <w:highlight w:val="none"/>
              </w:rPr>
            </w:pPr>
          </w:p>
        </w:tc>
        <w:tc>
          <w:tcPr>
            <w:tcW w:w="1984" w:type="dxa"/>
            <w:vAlign w:val="center"/>
          </w:tcPr>
          <w:p w14:paraId="4EA5769E">
            <w:pPr>
              <w:spacing w:line="480" w:lineRule="auto"/>
              <w:ind w:left="0" w:leftChars="0"/>
              <w:jc w:val="center"/>
              <w:rPr>
                <w:rStyle w:val="14"/>
                <w:rFonts w:hint="eastAsia" w:ascii="宋体" w:hAnsi="宋体" w:eastAsia="宋体" w:cs="宋体"/>
                <w:color w:val="auto"/>
                <w:sz w:val="24"/>
                <w:szCs w:val="24"/>
                <w:highlight w:val="none"/>
              </w:rPr>
            </w:pPr>
          </w:p>
        </w:tc>
        <w:tc>
          <w:tcPr>
            <w:tcW w:w="2857" w:type="dxa"/>
            <w:vAlign w:val="center"/>
          </w:tcPr>
          <w:p w14:paraId="6C4B124B">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16B7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9D2CA0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00A95E8">
            <w:pPr>
              <w:spacing w:line="480" w:lineRule="auto"/>
              <w:ind w:left="0" w:leftChars="0"/>
              <w:jc w:val="center"/>
              <w:rPr>
                <w:rStyle w:val="14"/>
                <w:rFonts w:hint="eastAsia" w:ascii="宋体" w:hAnsi="宋体" w:eastAsia="宋体" w:cs="宋体"/>
                <w:color w:val="auto"/>
                <w:sz w:val="24"/>
                <w:szCs w:val="24"/>
                <w:highlight w:val="none"/>
              </w:rPr>
            </w:pPr>
          </w:p>
        </w:tc>
        <w:tc>
          <w:tcPr>
            <w:tcW w:w="1797" w:type="dxa"/>
            <w:vAlign w:val="center"/>
          </w:tcPr>
          <w:p w14:paraId="6926BD7E">
            <w:pPr>
              <w:spacing w:line="480" w:lineRule="auto"/>
              <w:ind w:left="0" w:leftChars="0"/>
              <w:jc w:val="center"/>
              <w:rPr>
                <w:rStyle w:val="14"/>
                <w:rFonts w:hint="eastAsia" w:ascii="宋体" w:hAnsi="宋体" w:eastAsia="宋体" w:cs="宋体"/>
                <w:color w:val="auto"/>
                <w:sz w:val="24"/>
                <w:szCs w:val="24"/>
                <w:highlight w:val="none"/>
              </w:rPr>
            </w:pPr>
          </w:p>
        </w:tc>
        <w:tc>
          <w:tcPr>
            <w:tcW w:w="1984" w:type="dxa"/>
            <w:vAlign w:val="center"/>
          </w:tcPr>
          <w:p w14:paraId="1CC22CE7">
            <w:pPr>
              <w:spacing w:line="480" w:lineRule="auto"/>
              <w:ind w:left="0" w:leftChars="0"/>
              <w:jc w:val="center"/>
              <w:rPr>
                <w:rStyle w:val="14"/>
                <w:rFonts w:hint="eastAsia" w:ascii="宋体" w:hAnsi="宋体" w:eastAsia="宋体" w:cs="宋体"/>
                <w:color w:val="auto"/>
                <w:sz w:val="24"/>
                <w:szCs w:val="24"/>
                <w:highlight w:val="none"/>
              </w:rPr>
            </w:pPr>
          </w:p>
        </w:tc>
        <w:tc>
          <w:tcPr>
            <w:tcW w:w="2857" w:type="dxa"/>
            <w:vAlign w:val="center"/>
          </w:tcPr>
          <w:p w14:paraId="0F8936A3">
            <w:pPr>
              <w:pStyle w:val="15"/>
              <w:spacing w:line="480" w:lineRule="auto"/>
              <w:jc w:val="center"/>
              <w:rPr>
                <w:rStyle w:val="14"/>
                <w:rFonts w:hint="eastAsia" w:ascii="宋体" w:hAnsi="宋体" w:eastAsia="宋体" w:cs="宋体"/>
                <w:color w:val="auto"/>
                <w:sz w:val="24"/>
                <w:szCs w:val="24"/>
                <w:highlight w:val="none"/>
              </w:rPr>
            </w:pPr>
          </w:p>
        </w:tc>
      </w:tr>
      <w:tr w14:paraId="496C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6C386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F8943CD">
            <w:pPr>
              <w:spacing w:line="480" w:lineRule="auto"/>
              <w:ind w:left="0" w:leftChars="0"/>
              <w:jc w:val="center"/>
              <w:rPr>
                <w:rStyle w:val="14"/>
                <w:rFonts w:hint="eastAsia" w:ascii="宋体" w:hAnsi="宋体" w:eastAsia="宋体" w:cs="宋体"/>
                <w:color w:val="auto"/>
                <w:sz w:val="24"/>
                <w:szCs w:val="24"/>
                <w:highlight w:val="none"/>
              </w:rPr>
            </w:pPr>
          </w:p>
        </w:tc>
        <w:tc>
          <w:tcPr>
            <w:tcW w:w="1797" w:type="dxa"/>
            <w:vAlign w:val="center"/>
          </w:tcPr>
          <w:p w14:paraId="490D175F">
            <w:pPr>
              <w:spacing w:line="480" w:lineRule="auto"/>
              <w:ind w:left="0" w:leftChars="0"/>
              <w:jc w:val="center"/>
              <w:rPr>
                <w:rStyle w:val="14"/>
                <w:rFonts w:hint="eastAsia" w:ascii="宋体" w:hAnsi="宋体" w:eastAsia="宋体" w:cs="宋体"/>
                <w:color w:val="auto"/>
                <w:sz w:val="24"/>
                <w:szCs w:val="24"/>
                <w:highlight w:val="none"/>
              </w:rPr>
            </w:pPr>
          </w:p>
        </w:tc>
        <w:tc>
          <w:tcPr>
            <w:tcW w:w="1984" w:type="dxa"/>
            <w:vAlign w:val="center"/>
          </w:tcPr>
          <w:p w14:paraId="6B2212D3">
            <w:pPr>
              <w:spacing w:line="480" w:lineRule="auto"/>
              <w:ind w:left="0" w:leftChars="0"/>
              <w:jc w:val="center"/>
              <w:rPr>
                <w:rStyle w:val="14"/>
                <w:rFonts w:hint="eastAsia" w:ascii="宋体" w:hAnsi="宋体" w:eastAsia="宋体" w:cs="宋体"/>
                <w:color w:val="auto"/>
                <w:sz w:val="24"/>
                <w:szCs w:val="24"/>
                <w:highlight w:val="none"/>
              </w:rPr>
            </w:pPr>
          </w:p>
        </w:tc>
        <w:tc>
          <w:tcPr>
            <w:tcW w:w="2857" w:type="dxa"/>
            <w:vAlign w:val="center"/>
          </w:tcPr>
          <w:p w14:paraId="6F2C9634">
            <w:pPr>
              <w:pStyle w:val="15"/>
              <w:spacing w:line="480" w:lineRule="auto"/>
              <w:jc w:val="center"/>
              <w:rPr>
                <w:rStyle w:val="14"/>
                <w:rFonts w:hint="eastAsia" w:ascii="宋体" w:hAnsi="宋体" w:eastAsia="宋体" w:cs="宋体"/>
                <w:color w:val="auto"/>
                <w:sz w:val="24"/>
                <w:szCs w:val="24"/>
                <w:highlight w:val="none"/>
              </w:rPr>
            </w:pPr>
          </w:p>
        </w:tc>
      </w:tr>
      <w:tr w14:paraId="066A2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3A7244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8DF8C3F">
            <w:pPr>
              <w:spacing w:line="480" w:lineRule="auto"/>
              <w:ind w:left="0" w:leftChars="0"/>
              <w:jc w:val="center"/>
              <w:rPr>
                <w:rStyle w:val="14"/>
                <w:rFonts w:hint="eastAsia" w:ascii="宋体" w:hAnsi="宋体" w:eastAsia="宋体" w:cs="宋体"/>
                <w:color w:val="auto"/>
                <w:sz w:val="24"/>
                <w:szCs w:val="24"/>
                <w:highlight w:val="none"/>
              </w:rPr>
            </w:pPr>
          </w:p>
        </w:tc>
        <w:tc>
          <w:tcPr>
            <w:tcW w:w="1797" w:type="dxa"/>
            <w:vAlign w:val="center"/>
          </w:tcPr>
          <w:p w14:paraId="25FBCF3F">
            <w:pPr>
              <w:spacing w:line="480" w:lineRule="auto"/>
              <w:ind w:left="0" w:leftChars="0"/>
              <w:jc w:val="center"/>
              <w:rPr>
                <w:rStyle w:val="14"/>
                <w:rFonts w:hint="eastAsia" w:ascii="宋体" w:hAnsi="宋体" w:eastAsia="宋体" w:cs="宋体"/>
                <w:color w:val="auto"/>
                <w:sz w:val="24"/>
                <w:szCs w:val="24"/>
                <w:highlight w:val="none"/>
              </w:rPr>
            </w:pPr>
          </w:p>
        </w:tc>
        <w:tc>
          <w:tcPr>
            <w:tcW w:w="1984" w:type="dxa"/>
            <w:vAlign w:val="center"/>
          </w:tcPr>
          <w:p w14:paraId="4B5154F2">
            <w:pPr>
              <w:spacing w:line="480" w:lineRule="auto"/>
              <w:ind w:left="0" w:leftChars="0"/>
              <w:jc w:val="center"/>
              <w:rPr>
                <w:rStyle w:val="14"/>
                <w:rFonts w:hint="eastAsia" w:ascii="宋体" w:hAnsi="宋体" w:eastAsia="宋体" w:cs="宋体"/>
                <w:color w:val="auto"/>
                <w:sz w:val="24"/>
                <w:szCs w:val="24"/>
                <w:highlight w:val="none"/>
              </w:rPr>
            </w:pPr>
          </w:p>
        </w:tc>
        <w:tc>
          <w:tcPr>
            <w:tcW w:w="2857" w:type="dxa"/>
            <w:vAlign w:val="center"/>
          </w:tcPr>
          <w:p w14:paraId="7CCE05DE">
            <w:pPr>
              <w:pStyle w:val="15"/>
              <w:spacing w:line="480" w:lineRule="auto"/>
              <w:jc w:val="center"/>
              <w:rPr>
                <w:rStyle w:val="14"/>
                <w:rFonts w:hint="eastAsia" w:ascii="宋体" w:hAnsi="宋体" w:eastAsia="宋体" w:cs="宋体"/>
                <w:color w:val="auto"/>
                <w:sz w:val="24"/>
                <w:szCs w:val="24"/>
                <w:highlight w:val="none"/>
              </w:rPr>
            </w:pPr>
          </w:p>
        </w:tc>
      </w:tr>
      <w:tr w14:paraId="25AD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403E2D4A">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99AC8F9">
            <w:pPr>
              <w:spacing w:line="480" w:lineRule="auto"/>
              <w:ind w:left="0" w:leftChars="0"/>
              <w:jc w:val="center"/>
              <w:rPr>
                <w:rStyle w:val="14"/>
                <w:rFonts w:hint="eastAsia" w:ascii="宋体" w:hAnsi="宋体" w:eastAsia="宋体" w:cs="宋体"/>
                <w:color w:val="auto"/>
                <w:sz w:val="24"/>
                <w:szCs w:val="24"/>
                <w:highlight w:val="none"/>
              </w:rPr>
            </w:pPr>
          </w:p>
        </w:tc>
        <w:tc>
          <w:tcPr>
            <w:tcW w:w="1797" w:type="dxa"/>
            <w:vAlign w:val="center"/>
          </w:tcPr>
          <w:p w14:paraId="7A42BDA9">
            <w:pPr>
              <w:spacing w:line="480" w:lineRule="auto"/>
              <w:ind w:left="0" w:leftChars="0"/>
              <w:jc w:val="center"/>
              <w:rPr>
                <w:rStyle w:val="14"/>
                <w:rFonts w:hint="eastAsia" w:ascii="宋体" w:hAnsi="宋体" w:eastAsia="宋体" w:cs="宋体"/>
                <w:color w:val="auto"/>
                <w:sz w:val="24"/>
                <w:szCs w:val="24"/>
                <w:highlight w:val="none"/>
              </w:rPr>
            </w:pPr>
          </w:p>
        </w:tc>
        <w:tc>
          <w:tcPr>
            <w:tcW w:w="1984" w:type="dxa"/>
            <w:vAlign w:val="center"/>
          </w:tcPr>
          <w:p w14:paraId="6CC0C275">
            <w:pPr>
              <w:spacing w:line="480" w:lineRule="auto"/>
              <w:ind w:left="0" w:leftChars="0"/>
              <w:jc w:val="center"/>
              <w:rPr>
                <w:rStyle w:val="14"/>
                <w:rFonts w:hint="eastAsia" w:ascii="宋体" w:hAnsi="宋体" w:eastAsia="宋体" w:cs="宋体"/>
                <w:color w:val="auto"/>
                <w:sz w:val="24"/>
                <w:szCs w:val="24"/>
                <w:highlight w:val="none"/>
              </w:rPr>
            </w:pPr>
          </w:p>
        </w:tc>
        <w:tc>
          <w:tcPr>
            <w:tcW w:w="2857" w:type="dxa"/>
            <w:vAlign w:val="center"/>
          </w:tcPr>
          <w:p w14:paraId="3A12285C">
            <w:pPr>
              <w:pStyle w:val="15"/>
              <w:spacing w:line="480" w:lineRule="auto"/>
              <w:jc w:val="center"/>
              <w:rPr>
                <w:rStyle w:val="14"/>
                <w:rFonts w:hint="eastAsia" w:ascii="宋体" w:hAnsi="宋体" w:eastAsia="宋体" w:cs="宋体"/>
                <w:color w:val="auto"/>
                <w:sz w:val="24"/>
                <w:szCs w:val="24"/>
                <w:highlight w:val="none"/>
              </w:rPr>
            </w:pPr>
          </w:p>
        </w:tc>
      </w:tr>
      <w:tr w14:paraId="662C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73869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41F3618">
            <w:pPr>
              <w:spacing w:line="480" w:lineRule="auto"/>
              <w:ind w:left="0" w:leftChars="0"/>
              <w:jc w:val="center"/>
              <w:rPr>
                <w:rStyle w:val="14"/>
                <w:rFonts w:hint="eastAsia" w:ascii="宋体" w:hAnsi="宋体" w:eastAsia="宋体" w:cs="宋体"/>
                <w:color w:val="auto"/>
                <w:sz w:val="24"/>
                <w:szCs w:val="24"/>
                <w:highlight w:val="none"/>
              </w:rPr>
            </w:pPr>
          </w:p>
        </w:tc>
        <w:tc>
          <w:tcPr>
            <w:tcW w:w="1797" w:type="dxa"/>
            <w:vAlign w:val="center"/>
          </w:tcPr>
          <w:p w14:paraId="47089544">
            <w:pPr>
              <w:spacing w:line="480" w:lineRule="auto"/>
              <w:ind w:left="0" w:leftChars="0"/>
              <w:jc w:val="center"/>
              <w:rPr>
                <w:rStyle w:val="14"/>
                <w:rFonts w:hint="eastAsia" w:ascii="宋体" w:hAnsi="宋体" w:eastAsia="宋体" w:cs="宋体"/>
                <w:color w:val="auto"/>
                <w:sz w:val="24"/>
                <w:szCs w:val="24"/>
                <w:highlight w:val="none"/>
              </w:rPr>
            </w:pPr>
          </w:p>
        </w:tc>
        <w:tc>
          <w:tcPr>
            <w:tcW w:w="1984" w:type="dxa"/>
            <w:vAlign w:val="center"/>
          </w:tcPr>
          <w:p w14:paraId="6B108047">
            <w:pPr>
              <w:spacing w:line="480" w:lineRule="auto"/>
              <w:ind w:left="0" w:leftChars="0"/>
              <w:jc w:val="center"/>
              <w:rPr>
                <w:rStyle w:val="14"/>
                <w:rFonts w:hint="eastAsia" w:ascii="宋体" w:hAnsi="宋体" w:eastAsia="宋体" w:cs="宋体"/>
                <w:color w:val="auto"/>
                <w:sz w:val="24"/>
                <w:szCs w:val="24"/>
                <w:highlight w:val="none"/>
              </w:rPr>
            </w:pPr>
          </w:p>
        </w:tc>
        <w:tc>
          <w:tcPr>
            <w:tcW w:w="2857" w:type="dxa"/>
            <w:vAlign w:val="center"/>
          </w:tcPr>
          <w:p w14:paraId="1119CC71">
            <w:pPr>
              <w:pStyle w:val="15"/>
              <w:spacing w:line="480" w:lineRule="auto"/>
              <w:jc w:val="center"/>
              <w:rPr>
                <w:rStyle w:val="14"/>
                <w:rFonts w:hint="eastAsia" w:ascii="宋体" w:hAnsi="宋体" w:eastAsia="宋体" w:cs="宋体"/>
                <w:color w:val="auto"/>
                <w:sz w:val="24"/>
                <w:szCs w:val="24"/>
                <w:highlight w:val="none"/>
              </w:rPr>
            </w:pPr>
          </w:p>
        </w:tc>
      </w:tr>
      <w:tr w14:paraId="148B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498D7F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4E0693C">
            <w:pPr>
              <w:spacing w:line="480" w:lineRule="auto"/>
              <w:ind w:left="0" w:leftChars="0"/>
              <w:jc w:val="center"/>
              <w:rPr>
                <w:rStyle w:val="14"/>
                <w:rFonts w:hint="eastAsia" w:ascii="宋体" w:hAnsi="宋体" w:eastAsia="宋体" w:cs="宋体"/>
                <w:color w:val="auto"/>
                <w:sz w:val="24"/>
                <w:szCs w:val="24"/>
                <w:highlight w:val="none"/>
              </w:rPr>
            </w:pPr>
          </w:p>
        </w:tc>
        <w:tc>
          <w:tcPr>
            <w:tcW w:w="1797" w:type="dxa"/>
            <w:vAlign w:val="center"/>
          </w:tcPr>
          <w:p w14:paraId="2D8829EE">
            <w:pPr>
              <w:spacing w:line="480" w:lineRule="auto"/>
              <w:ind w:left="0" w:leftChars="0"/>
              <w:jc w:val="center"/>
              <w:rPr>
                <w:rStyle w:val="14"/>
                <w:rFonts w:hint="eastAsia" w:ascii="宋体" w:hAnsi="宋体" w:eastAsia="宋体" w:cs="宋体"/>
                <w:color w:val="auto"/>
                <w:sz w:val="24"/>
                <w:szCs w:val="24"/>
                <w:highlight w:val="none"/>
              </w:rPr>
            </w:pPr>
          </w:p>
        </w:tc>
        <w:tc>
          <w:tcPr>
            <w:tcW w:w="1984" w:type="dxa"/>
            <w:vAlign w:val="center"/>
          </w:tcPr>
          <w:p w14:paraId="27993355">
            <w:pPr>
              <w:spacing w:line="480" w:lineRule="auto"/>
              <w:ind w:left="0" w:leftChars="0"/>
              <w:jc w:val="center"/>
              <w:rPr>
                <w:rStyle w:val="14"/>
                <w:rFonts w:hint="eastAsia" w:ascii="宋体" w:hAnsi="宋体" w:eastAsia="宋体" w:cs="宋体"/>
                <w:color w:val="auto"/>
                <w:sz w:val="24"/>
                <w:szCs w:val="24"/>
                <w:highlight w:val="none"/>
              </w:rPr>
            </w:pPr>
          </w:p>
        </w:tc>
        <w:tc>
          <w:tcPr>
            <w:tcW w:w="2857" w:type="dxa"/>
            <w:vAlign w:val="center"/>
          </w:tcPr>
          <w:p w14:paraId="36FA66BC">
            <w:pPr>
              <w:pStyle w:val="15"/>
              <w:spacing w:line="480" w:lineRule="auto"/>
              <w:jc w:val="center"/>
              <w:rPr>
                <w:rStyle w:val="14"/>
                <w:rFonts w:hint="eastAsia" w:ascii="宋体" w:hAnsi="宋体" w:eastAsia="宋体" w:cs="宋体"/>
                <w:color w:val="auto"/>
                <w:sz w:val="24"/>
                <w:szCs w:val="24"/>
                <w:highlight w:val="none"/>
              </w:rPr>
            </w:pPr>
          </w:p>
        </w:tc>
      </w:tr>
      <w:tr w14:paraId="6259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4E645ADD">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A354E16">
            <w:pPr>
              <w:spacing w:line="480" w:lineRule="auto"/>
              <w:ind w:left="0" w:leftChars="0"/>
              <w:jc w:val="center"/>
              <w:rPr>
                <w:rStyle w:val="14"/>
                <w:rFonts w:hint="eastAsia" w:ascii="宋体" w:hAnsi="宋体" w:eastAsia="宋体" w:cs="宋体"/>
                <w:color w:val="auto"/>
                <w:sz w:val="24"/>
                <w:szCs w:val="24"/>
                <w:highlight w:val="none"/>
              </w:rPr>
            </w:pPr>
          </w:p>
        </w:tc>
        <w:tc>
          <w:tcPr>
            <w:tcW w:w="1797" w:type="dxa"/>
            <w:vAlign w:val="center"/>
          </w:tcPr>
          <w:p w14:paraId="0934D237">
            <w:pPr>
              <w:spacing w:line="480" w:lineRule="auto"/>
              <w:ind w:left="0" w:leftChars="0"/>
              <w:jc w:val="center"/>
              <w:rPr>
                <w:rStyle w:val="14"/>
                <w:rFonts w:hint="eastAsia" w:ascii="宋体" w:hAnsi="宋体" w:eastAsia="宋体" w:cs="宋体"/>
                <w:color w:val="auto"/>
                <w:sz w:val="24"/>
                <w:szCs w:val="24"/>
                <w:highlight w:val="none"/>
              </w:rPr>
            </w:pPr>
          </w:p>
        </w:tc>
        <w:tc>
          <w:tcPr>
            <w:tcW w:w="1984" w:type="dxa"/>
            <w:vAlign w:val="center"/>
          </w:tcPr>
          <w:p w14:paraId="692CAE93">
            <w:pPr>
              <w:spacing w:line="480" w:lineRule="auto"/>
              <w:ind w:left="0" w:leftChars="0"/>
              <w:jc w:val="center"/>
              <w:rPr>
                <w:rStyle w:val="14"/>
                <w:rFonts w:hint="eastAsia" w:ascii="宋体" w:hAnsi="宋体" w:eastAsia="宋体" w:cs="宋体"/>
                <w:color w:val="auto"/>
                <w:sz w:val="24"/>
                <w:szCs w:val="24"/>
                <w:highlight w:val="none"/>
              </w:rPr>
            </w:pPr>
          </w:p>
        </w:tc>
        <w:tc>
          <w:tcPr>
            <w:tcW w:w="2857" w:type="dxa"/>
            <w:vAlign w:val="center"/>
          </w:tcPr>
          <w:p w14:paraId="6006D864">
            <w:pPr>
              <w:pStyle w:val="15"/>
              <w:spacing w:line="480" w:lineRule="auto"/>
              <w:jc w:val="center"/>
              <w:rPr>
                <w:rStyle w:val="14"/>
                <w:rFonts w:hint="eastAsia" w:ascii="宋体" w:hAnsi="宋体" w:eastAsia="宋体" w:cs="宋体"/>
                <w:color w:val="auto"/>
                <w:sz w:val="24"/>
                <w:szCs w:val="24"/>
                <w:highlight w:val="none"/>
              </w:rPr>
            </w:pPr>
          </w:p>
        </w:tc>
      </w:tr>
      <w:tr w14:paraId="3245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A5D6176">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5899A82">
            <w:pPr>
              <w:spacing w:line="480" w:lineRule="auto"/>
              <w:ind w:left="0" w:leftChars="0"/>
              <w:jc w:val="center"/>
              <w:rPr>
                <w:rStyle w:val="14"/>
                <w:rFonts w:hint="eastAsia" w:ascii="宋体" w:hAnsi="宋体" w:eastAsia="宋体" w:cs="宋体"/>
                <w:color w:val="auto"/>
                <w:sz w:val="24"/>
                <w:szCs w:val="24"/>
                <w:highlight w:val="none"/>
              </w:rPr>
            </w:pPr>
          </w:p>
        </w:tc>
        <w:tc>
          <w:tcPr>
            <w:tcW w:w="1797" w:type="dxa"/>
            <w:vAlign w:val="center"/>
          </w:tcPr>
          <w:p w14:paraId="2381F1DA">
            <w:pPr>
              <w:spacing w:line="480" w:lineRule="auto"/>
              <w:ind w:left="0" w:leftChars="0"/>
              <w:jc w:val="center"/>
              <w:rPr>
                <w:rStyle w:val="14"/>
                <w:rFonts w:hint="eastAsia" w:ascii="宋体" w:hAnsi="宋体" w:eastAsia="宋体" w:cs="宋体"/>
                <w:color w:val="auto"/>
                <w:sz w:val="24"/>
                <w:szCs w:val="24"/>
                <w:highlight w:val="none"/>
              </w:rPr>
            </w:pPr>
          </w:p>
        </w:tc>
        <w:tc>
          <w:tcPr>
            <w:tcW w:w="1984" w:type="dxa"/>
            <w:vAlign w:val="center"/>
          </w:tcPr>
          <w:p w14:paraId="4B9FBBD9">
            <w:pPr>
              <w:spacing w:line="480" w:lineRule="auto"/>
              <w:ind w:left="0" w:leftChars="0"/>
              <w:jc w:val="center"/>
              <w:rPr>
                <w:rStyle w:val="14"/>
                <w:rFonts w:hint="eastAsia" w:ascii="宋体" w:hAnsi="宋体" w:eastAsia="宋体" w:cs="宋体"/>
                <w:color w:val="auto"/>
                <w:sz w:val="24"/>
                <w:szCs w:val="24"/>
                <w:highlight w:val="none"/>
              </w:rPr>
            </w:pPr>
          </w:p>
        </w:tc>
        <w:tc>
          <w:tcPr>
            <w:tcW w:w="2857" w:type="dxa"/>
            <w:vAlign w:val="center"/>
          </w:tcPr>
          <w:p w14:paraId="1967CCE5">
            <w:pPr>
              <w:pStyle w:val="15"/>
              <w:spacing w:line="480" w:lineRule="auto"/>
              <w:jc w:val="center"/>
              <w:rPr>
                <w:rStyle w:val="14"/>
                <w:rFonts w:hint="eastAsia" w:ascii="宋体" w:hAnsi="宋体" w:eastAsia="宋体" w:cs="宋体"/>
                <w:color w:val="auto"/>
                <w:sz w:val="24"/>
                <w:szCs w:val="24"/>
                <w:highlight w:val="none"/>
              </w:rPr>
            </w:pPr>
          </w:p>
        </w:tc>
      </w:tr>
      <w:tr w14:paraId="75EE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9992A34">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86EEE3A">
            <w:pPr>
              <w:spacing w:line="480" w:lineRule="auto"/>
              <w:ind w:left="0" w:leftChars="0"/>
              <w:jc w:val="center"/>
              <w:rPr>
                <w:rStyle w:val="14"/>
                <w:rFonts w:hint="eastAsia" w:ascii="宋体" w:hAnsi="宋体" w:eastAsia="宋体" w:cs="宋体"/>
                <w:color w:val="auto"/>
                <w:sz w:val="24"/>
                <w:szCs w:val="24"/>
                <w:highlight w:val="none"/>
              </w:rPr>
            </w:pPr>
          </w:p>
        </w:tc>
        <w:tc>
          <w:tcPr>
            <w:tcW w:w="1797" w:type="dxa"/>
            <w:vAlign w:val="center"/>
          </w:tcPr>
          <w:p w14:paraId="1A0541B3">
            <w:pPr>
              <w:spacing w:line="480" w:lineRule="auto"/>
              <w:ind w:left="0" w:leftChars="0"/>
              <w:jc w:val="center"/>
              <w:rPr>
                <w:rStyle w:val="14"/>
                <w:rFonts w:hint="eastAsia" w:ascii="宋体" w:hAnsi="宋体" w:eastAsia="宋体" w:cs="宋体"/>
                <w:color w:val="auto"/>
                <w:sz w:val="24"/>
                <w:szCs w:val="24"/>
                <w:highlight w:val="none"/>
              </w:rPr>
            </w:pPr>
          </w:p>
        </w:tc>
        <w:tc>
          <w:tcPr>
            <w:tcW w:w="1984" w:type="dxa"/>
            <w:vAlign w:val="center"/>
          </w:tcPr>
          <w:p w14:paraId="5F5152A5">
            <w:pPr>
              <w:spacing w:line="480" w:lineRule="auto"/>
              <w:ind w:left="0" w:leftChars="0"/>
              <w:jc w:val="center"/>
              <w:rPr>
                <w:rStyle w:val="14"/>
                <w:rFonts w:hint="eastAsia" w:ascii="宋体" w:hAnsi="宋体" w:eastAsia="宋体" w:cs="宋体"/>
                <w:color w:val="auto"/>
                <w:sz w:val="24"/>
                <w:szCs w:val="24"/>
                <w:highlight w:val="none"/>
              </w:rPr>
            </w:pPr>
          </w:p>
        </w:tc>
        <w:tc>
          <w:tcPr>
            <w:tcW w:w="2857" w:type="dxa"/>
            <w:vAlign w:val="center"/>
          </w:tcPr>
          <w:p w14:paraId="41207F6B">
            <w:pPr>
              <w:pStyle w:val="15"/>
              <w:spacing w:line="480" w:lineRule="auto"/>
              <w:jc w:val="center"/>
              <w:rPr>
                <w:rStyle w:val="14"/>
                <w:rFonts w:hint="eastAsia" w:ascii="宋体" w:hAnsi="宋体" w:eastAsia="宋体" w:cs="宋体"/>
                <w:color w:val="auto"/>
                <w:sz w:val="24"/>
                <w:szCs w:val="24"/>
                <w:highlight w:val="none"/>
              </w:rPr>
            </w:pPr>
          </w:p>
        </w:tc>
      </w:tr>
      <w:tr w14:paraId="5CA7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114954A">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10D32F4">
            <w:pPr>
              <w:spacing w:line="480" w:lineRule="auto"/>
              <w:ind w:left="0" w:leftChars="0"/>
              <w:jc w:val="center"/>
              <w:rPr>
                <w:rStyle w:val="14"/>
                <w:rFonts w:hint="eastAsia" w:ascii="宋体" w:hAnsi="宋体" w:eastAsia="宋体" w:cs="宋体"/>
                <w:color w:val="auto"/>
                <w:sz w:val="24"/>
                <w:szCs w:val="24"/>
                <w:highlight w:val="none"/>
              </w:rPr>
            </w:pPr>
          </w:p>
        </w:tc>
        <w:tc>
          <w:tcPr>
            <w:tcW w:w="1797" w:type="dxa"/>
            <w:vAlign w:val="center"/>
          </w:tcPr>
          <w:p w14:paraId="3BA8B080">
            <w:pPr>
              <w:spacing w:line="480" w:lineRule="auto"/>
              <w:ind w:left="0" w:leftChars="0"/>
              <w:jc w:val="center"/>
              <w:rPr>
                <w:rStyle w:val="14"/>
                <w:rFonts w:hint="eastAsia" w:ascii="宋体" w:hAnsi="宋体" w:eastAsia="宋体" w:cs="宋体"/>
                <w:color w:val="auto"/>
                <w:sz w:val="24"/>
                <w:szCs w:val="24"/>
                <w:highlight w:val="none"/>
              </w:rPr>
            </w:pPr>
          </w:p>
        </w:tc>
        <w:tc>
          <w:tcPr>
            <w:tcW w:w="1984" w:type="dxa"/>
            <w:vAlign w:val="center"/>
          </w:tcPr>
          <w:p w14:paraId="226B2F0A">
            <w:pPr>
              <w:spacing w:line="480" w:lineRule="auto"/>
              <w:ind w:left="0" w:leftChars="0"/>
              <w:jc w:val="center"/>
              <w:rPr>
                <w:rStyle w:val="14"/>
                <w:rFonts w:hint="eastAsia" w:ascii="宋体" w:hAnsi="宋体" w:eastAsia="宋体" w:cs="宋体"/>
                <w:color w:val="auto"/>
                <w:sz w:val="24"/>
                <w:szCs w:val="24"/>
                <w:highlight w:val="none"/>
              </w:rPr>
            </w:pPr>
          </w:p>
        </w:tc>
        <w:tc>
          <w:tcPr>
            <w:tcW w:w="2857" w:type="dxa"/>
            <w:vAlign w:val="center"/>
          </w:tcPr>
          <w:p w14:paraId="0A87B6F1">
            <w:pPr>
              <w:pStyle w:val="15"/>
              <w:spacing w:line="480" w:lineRule="auto"/>
              <w:jc w:val="center"/>
              <w:rPr>
                <w:rStyle w:val="14"/>
                <w:rFonts w:hint="eastAsia" w:ascii="宋体" w:hAnsi="宋体" w:eastAsia="宋体" w:cs="宋体"/>
                <w:color w:val="auto"/>
                <w:sz w:val="24"/>
                <w:szCs w:val="24"/>
                <w:highlight w:val="none"/>
              </w:rPr>
            </w:pPr>
          </w:p>
        </w:tc>
      </w:tr>
    </w:tbl>
    <w:p w14:paraId="39CD5AA7">
      <w:pPr>
        <w:pStyle w:val="8"/>
        <w:ind w:left="0" w:leftChars="0" w:firstLine="0" w:firstLineChars="0"/>
        <w:rPr>
          <w:rFonts w:ascii="Times New Roman" w:hAnsi="Times New Roman" w:eastAsia="宋体" w:cs="Times New Roman"/>
          <w:b/>
          <w:bCs/>
          <w:color w:val="auto"/>
          <w:highlight w:val="none"/>
        </w:rPr>
      </w:pPr>
      <w:r>
        <w:rPr>
          <w:rFonts w:hint="eastAsia" w:ascii="宋体" w:hAnsi="宋体" w:cs="宋体"/>
          <w:b/>
          <w:bCs/>
          <w:color w:val="auto"/>
          <w:sz w:val="24"/>
          <w:szCs w:val="24"/>
          <w:highlight w:val="none"/>
          <w:lang w:val="en-US" w:eastAsia="zh-CN"/>
        </w:rPr>
        <w:t>注：</w:t>
      </w:r>
      <w:r>
        <w:rPr>
          <w:b/>
          <w:bCs/>
          <w:color w:val="auto"/>
          <w:highlight w:val="none"/>
        </w:rPr>
        <w:t>施工管理人员</w:t>
      </w:r>
      <w:r>
        <w:rPr>
          <w:rFonts w:hint="eastAsia"/>
          <w:b/>
          <w:bCs/>
          <w:color w:val="auto"/>
          <w:highlight w:val="none"/>
          <w:lang w:val="en-US" w:eastAsia="zh-CN"/>
        </w:rPr>
        <w:t>不低于1人，劳资资料管理人员不低于1人，安全协管人员不低于1人，劳务造价专员不低于1人，劳务材料员不低于1人</w:t>
      </w:r>
      <w:r>
        <w:rPr>
          <w:rFonts w:hint="eastAsia" w:ascii="Times New Roman" w:hAnsi="Times New Roman" w:eastAsia="宋体" w:cs="Times New Roman"/>
          <w:b/>
          <w:bCs/>
          <w:color w:val="auto"/>
          <w:highlight w:val="none"/>
          <w:lang w:val="en-US" w:eastAsia="zh-CN"/>
        </w:rPr>
        <w:t>（劳务员、造价专员、材料员三个岗位可一人兼2个岗位（最少2人），其他管理岗位不得兼职）。</w:t>
      </w:r>
    </w:p>
    <w:p w14:paraId="3CD3BE00">
      <w:pPr>
        <w:rPr>
          <w:rFonts w:hint="default" w:ascii="仿宋_GB2312" w:hAnsi="仿宋_GB2312" w:eastAsia="仿宋_GB2312" w:cs="仿宋_GB2312"/>
          <w:b/>
          <w:bCs/>
          <w:sz w:val="30"/>
          <w:szCs w:val="30"/>
          <w:highlight w:val="none"/>
          <w:lang w:val="en-US" w:eastAsia="zh-CN"/>
        </w:rPr>
      </w:pPr>
      <w:r>
        <w:rPr>
          <w:rFonts w:hint="default" w:ascii="仿宋_GB2312" w:hAnsi="仿宋_GB2312" w:eastAsia="仿宋_GB2312" w:cs="仿宋_GB2312"/>
          <w:b/>
          <w:bCs/>
          <w:sz w:val="30"/>
          <w:szCs w:val="30"/>
          <w:highlight w:val="none"/>
          <w:lang w:val="en-US" w:eastAsia="zh-CN"/>
        </w:rPr>
        <w:br w:type="page"/>
      </w:r>
    </w:p>
    <w:p w14:paraId="61007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附注：</w:t>
      </w:r>
    </w:p>
    <w:p w14:paraId="14620EEF">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施工管理人员同期可承担1个600万元以上和1个100万元以下的项目，且2个项目直线距离不超过5公里。</w:t>
      </w:r>
    </w:p>
    <w:p w14:paraId="19F5A5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2.劳务材料员可承担1个600万元以上和1个100万元以下的项目，且2个项目直线距离不超过5公里。</w:t>
      </w:r>
    </w:p>
    <w:p w14:paraId="148B94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3.劳资资料管理人员、劳务造价专员同期可承担1个600万元以上和2个</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00万元以下的项目。</w:t>
      </w:r>
    </w:p>
    <w:p w14:paraId="3CEECD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4.劳务项目相关管理人员证书注册单位与投标单位不做要求，但必须为本项目实施过程中实际现场管理人员，履行对应职责，否则将按照公司规定处罚。</w:t>
      </w:r>
    </w:p>
    <w:p w14:paraId="579771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.劳务工程完工后由项目经理</w:t>
      </w:r>
      <w:r>
        <w:rPr>
          <w:rFonts w:hint="eastAsia" w:ascii="宋体" w:hAnsi="宋体" w:cs="宋体"/>
          <w:color w:val="auto"/>
          <w:kern w:val="2"/>
          <w:sz w:val="24"/>
          <w:szCs w:val="24"/>
          <w:highlight w:val="none"/>
          <w:lang w:val="en-US" w:eastAsia="zh-CN" w:bidi="ar-SA"/>
        </w:rPr>
        <w:t>部</w:t>
      </w:r>
      <w:r>
        <w:rPr>
          <w:rFonts w:hint="eastAsia" w:ascii="宋体" w:hAnsi="宋体" w:eastAsia="宋体" w:cs="宋体"/>
          <w:color w:val="auto"/>
          <w:kern w:val="2"/>
          <w:sz w:val="24"/>
          <w:szCs w:val="24"/>
          <w:highlight w:val="none"/>
          <w:lang w:val="en-US" w:eastAsia="zh-CN" w:bidi="ar-SA"/>
        </w:rPr>
        <w:t>出具劳务完工报告后可再承接其他项目。</w:t>
      </w:r>
    </w:p>
    <w:p w14:paraId="4B49C6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.施工管理人员、安全协管人员、劳务材料员在劳务施工期间在施工现场应保证每月不得少于22天。</w:t>
      </w:r>
    </w:p>
    <w:p w14:paraId="53E696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.劳务公司的施工管理人员、安全协管人员、劳务材料员等主要管理人员离开施工现场每月累计超过3天的，应通知施工项目部，并征得施工项目部书面同意。</w:t>
      </w:r>
    </w:p>
    <w:p w14:paraId="38D03B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 劳务公司的施工管理人员、安全协管人员、劳务材料员若累计达到3次不在施工现场，发包人有权要求施工单位更换主要施工管理人员或解除施工合同，由此带来的损失全部由劳务方负责。</w:t>
      </w:r>
    </w:p>
    <w:p w14:paraId="2F3763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9</w:t>
      </w:r>
      <w:r>
        <w:rPr>
          <w:rFonts w:hint="eastAsia" w:ascii="宋体" w:hAnsi="宋体" w:eastAsia="宋体" w:cs="宋体"/>
          <w:color w:val="auto"/>
          <w:kern w:val="2"/>
          <w:sz w:val="24"/>
          <w:szCs w:val="24"/>
          <w:highlight w:val="none"/>
          <w:lang w:val="en-US" w:eastAsia="zh-CN" w:bidi="ar-SA"/>
        </w:rPr>
        <w:t>.擅自更换施工管理人员、安全协管人员、劳务材料员，按3000元/次/人进行处罚，擅自更换劳资资料管理人员、劳务造价专员，按2000元/次/人进行处罚，施工管理人员、安全协管人员、劳务材料员不称职甲方要求更换的，每更换一人罚款3000元，更换人员应于3天内到场，每延迟一天罚款500元，项目其他管理人员不称职甲方要求更换的，每更换一人罚款2000元，更换人员应于3天内到场，每延迟一天罚款300元.同时发包人有权解除施工合同，由此带来的损失全部由承包人负责。</w:t>
      </w:r>
    </w:p>
    <w:p w14:paraId="65D521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.经项目部同意批准更换劳务项目管理人员，施工管理人员、安全协管人员、劳务材料员每人次罚款2000元，项目其他管理人员1000元。</w:t>
      </w:r>
    </w:p>
    <w:p w14:paraId="11419A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2"/>
          <w:sz w:val="24"/>
          <w:szCs w:val="24"/>
          <w:highlight w:val="none"/>
          <w:lang w:val="en-US" w:eastAsia="zh-CN" w:bidi="ar-SA"/>
        </w:rPr>
      </w:pPr>
    </w:p>
    <w:p w14:paraId="12CB25DA">
      <w:pPr>
        <w:numPr>
          <w:ilvl w:val="0"/>
          <w:numId w:val="0"/>
        </w:numPr>
        <w:rPr>
          <w:rFonts w:hint="eastAsia" w:ascii="宋体" w:hAnsi="宋体" w:eastAsia="宋体" w:cs="宋体"/>
          <w:color w:val="auto"/>
          <w:kern w:val="2"/>
          <w:sz w:val="24"/>
          <w:szCs w:val="24"/>
          <w:highlight w:val="none"/>
          <w:lang w:val="en-US" w:eastAsia="zh-CN" w:bidi="ar-SA"/>
        </w:rPr>
      </w:pPr>
    </w:p>
    <w:p w14:paraId="51ED61FB">
      <w:pPr>
        <w:numPr>
          <w:ilvl w:val="0"/>
          <w:numId w:val="0"/>
        </w:numPr>
        <w:rPr>
          <w:rFonts w:hint="eastAsia" w:ascii="宋体" w:hAnsi="宋体" w:eastAsia="宋体" w:cs="宋体"/>
          <w:color w:val="auto"/>
          <w:kern w:val="2"/>
          <w:sz w:val="24"/>
          <w:szCs w:val="24"/>
          <w:highlight w:val="none"/>
          <w:lang w:val="en-US" w:eastAsia="zh-CN" w:bidi="ar-SA"/>
        </w:rPr>
      </w:pPr>
    </w:p>
    <w:p w14:paraId="27E6FF14">
      <w:pPr>
        <w:rPr>
          <w:rFonts w:hint="default"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附件三：</w:t>
      </w:r>
    </w:p>
    <w:p w14:paraId="08271571">
      <w:pPr>
        <w:rPr>
          <w:rFonts w:hint="eastAsia" w:ascii="仿宋_GB2312" w:hAnsi="仿宋_GB2312" w:eastAsia="仿宋_GB2312" w:cs="仿宋_GB2312"/>
          <w:sz w:val="30"/>
          <w:szCs w:val="30"/>
          <w:highlight w:val="none"/>
        </w:rPr>
      </w:pPr>
      <w:r>
        <w:rPr>
          <w:rFonts w:hint="eastAsia" w:ascii="仿宋_GB2312" w:hAnsi="仿宋_GB2312" w:eastAsia="仿宋_GB2312" w:cs="仿宋_GB2312"/>
          <w:kern w:val="0"/>
          <w:sz w:val="30"/>
          <w:szCs w:val="30"/>
          <w:highlight w:val="none"/>
          <w:lang w:val="en-US" w:eastAsia="zh-CN" w:bidi="ar-SA"/>
        </w:rPr>
        <w:t xml:space="preserve">                          综合评分表</w:t>
      </w:r>
    </w:p>
    <w:p w14:paraId="047FFC08">
      <w:pPr>
        <w:pStyle w:val="8"/>
        <w:widowControl w:val="0"/>
        <w:numPr>
          <w:ilvl w:val="0"/>
          <w:numId w:val="0"/>
        </w:numPr>
        <w:spacing w:after="0" w:line="360" w:lineRule="auto"/>
        <w:jc w:val="both"/>
        <w:rPr>
          <w:rFonts w:hint="default"/>
          <w:color w:val="auto"/>
          <w:highlight w:val="none"/>
          <w:u w:val="none"/>
          <w:lang w:val="en-US" w:eastAsia="zh-CN"/>
        </w:rPr>
      </w:pPr>
    </w:p>
    <w:tbl>
      <w:tblPr>
        <w:tblStyle w:val="9"/>
        <w:tblW w:w="89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71"/>
        <w:gridCol w:w="1602"/>
        <w:gridCol w:w="5550"/>
        <w:gridCol w:w="975"/>
      </w:tblGrid>
      <w:tr w14:paraId="230D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08" w:hRule="atLeast"/>
        </w:trPr>
        <w:tc>
          <w:tcPr>
            <w:tcW w:w="8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ECC17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序号</w:t>
            </w:r>
          </w:p>
        </w:tc>
        <w:tc>
          <w:tcPr>
            <w:tcW w:w="1602"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B9A866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w:t>
            </w:r>
          </w:p>
          <w:p w14:paraId="0B19269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项目</w:t>
            </w:r>
          </w:p>
        </w:tc>
        <w:tc>
          <w:tcPr>
            <w:tcW w:w="555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71EFB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评比内容</w:t>
            </w:r>
          </w:p>
        </w:tc>
        <w:tc>
          <w:tcPr>
            <w:tcW w:w="97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65606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满分</w:t>
            </w:r>
          </w:p>
        </w:tc>
      </w:tr>
      <w:tr w14:paraId="4507D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C54ACB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239CF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劳务管理</w:t>
            </w:r>
          </w:p>
          <w:p w14:paraId="70CFE6C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人员配置</w:t>
            </w:r>
          </w:p>
          <w:p w14:paraId="6EC8B1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ACFA26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1.施工管理人员满足资格要求得2分,同时具备二级市政建造师或市政类中级职称和市政施工员加2分，增加一名施工管理人员加2分，本项最高6分；</w:t>
            </w:r>
          </w:p>
          <w:p w14:paraId="7D0084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2.安全协管人员满足资格要求得2分，增加一名安全协管人员加2分，本项最高4分；</w:t>
            </w:r>
          </w:p>
          <w:p w14:paraId="70CDB9B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3.其他管理人员满足资格要求得5分；</w:t>
            </w:r>
          </w:p>
          <w:p w14:paraId="49DF7B9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p w14:paraId="3B7C3D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p w14:paraId="482AFDA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1E5AA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F42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56"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547E4B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2</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A9F6F5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施工方案</w:t>
            </w:r>
          </w:p>
          <w:p w14:paraId="68D027E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91EB0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分包单位提供的施工方案与技术措施进行比较评分，施工方案包括但不仅限于项目管理机构配备方案、进度计划保证措施方案、质量管理目标及措施方案、安全施工保证措施方案、文明施工保证措施方案:</w:t>
            </w:r>
          </w:p>
          <w:p w14:paraId="2C4219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1.施工方案与技术措施科学合理，适用性强，思路清晰内容全面，能够根据实际情况制订，满足甲方的需要且考虑问题周全，实施过程务实，各项指标均能完成得12-15分；</w:t>
            </w:r>
          </w:p>
          <w:p w14:paraId="593EE4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2.施工方案与技术措施能够满足施工需要，实施性较强得8-11.9分;</w:t>
            </w:r>
          </w:p>
          <w:p w14:paraId="51409EF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3.施工方案与技术措施基本满足施工要求得5-7.9分；</w:t>
            </w:r>
          </w:p>
          <w:p w14:paraId="6DA881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64AB74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052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8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B218A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3</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ED9DF5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仿宋_GB2312" w:hAnsi="仿宋_GB2312" w:eastAsia="仿宋_GB2312" w:cs="仿宋_GB2312"/>
                <w:kern w:val="0"/>
                <w:sz w:val="24"/>
                <w:szCs w:val="24"/>
                <w:highlight w:val="yellow"/>
                <w:lang w:val="en-US" w:eastAsia="zh-CN" w:bidi="ar-SA"/>
              </w:rPr>
            </w:pPr>
            <w:r>
              <w:rPr>
                <w:rFonts w:hint="eastAsia" w:ascii="仿宋_GB2312" w:hAnsi="仿宋_GB2312" w:eastAsia="仿宋_GB2312" w:cs="仿宋_GB2312"/>
                <w:kern w:val="0"/>
                <w:sz w:val="30"/>
                <w:szCs w:val="30"/>
                <w:highlight w:val="none"/>
                <w:lang w:val="en-US" w:eastAsia="zh-CN" w:bidi="ar-SA"/>
              </w:rPr>
              <w:t>业绩要求  （10分）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A3B859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单位在近3年期间（2022年7月至今）,在遂宁市内（含区、县、乡）所承包的工程（施工）业务；</w:t>
            </w:r>
          </w:p>
          <w:p w14:paraId="6F53100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①完成合同金额在100万元（含）-200万元（不含）项目得5分，以竣工的时间和金额为准；</w:t>
            </w:r>
          </w:p>
          <w:p w14:paraId="51B7922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②完成合同金额在200万元（含）-500万元（不含）的项目得7分；</w:t>
            </w:r>
          </w:p>
          <w:p w14:paraId="0575BC4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③完成合同金额在500万元（含）以上项目得10分；</w:t>
            </w:r>
          </w:p>
          <w:p w14:paraId="713C158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以竣工的时间和金额为准，投标单位只需提供一个业绩最高的资料，本项得分最高为10分；</w:t>
            </w:r>
          </w:p>
          <w:p w14:paraId="6C3A19A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default" w:ascii="仿宋_GB2312" w:hAnsi="仿宋_GB2312" w:eastAsia="仿宋_GB2312" w:cs="仿宋_GB2312"/>
                <w:kern w:val="0"/>
                <w:sz w:val="24"/>
                <w:szCs w:val="24"/>
                <w:highlight w:val="yellow"/>
                <w:lang w:val="en-US" w:eastAsia="zh-CN" w:bidi="ar-SA"/>
              </w:rPr>
            </w:pPr>
            <w:r>
              <w:rPr>
                <w:rFonts w:hint="eastAsia" w:ascii="仿宋_GB2312" w:hAnsi="仿宋_GB2312" w:eastAsia="仿宋_GB2312" w:cs="仿宋_GB2312"/>
                <w:kern w:val="0"/>
                <w:sz w:val="24"/>
                <w:szCs w:val="24"/>
                <w:highlight w:val="none"/>
                <w:lang w:val="en-US" w:eastAsia="zh-CN" w:bidi="ar-SA"/>
              </w:rPr>
              <w:t>④业绩资料应为清晰完整的复印件，资料内容和盖章不清晰、不完整不得分。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F1FCC6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leftChars="0" w:right="0" w:rightChars="0"/>
              <w:jc w:val="center"/>
              <w:rPr>
                <w:rFonts w:hint="eastAsia" w:ascii="仿宋_GB2312" w:hAnsi="仿宋_GB2312" w:eastAsia="仿宋_GB2312" w:cs="仿宋_GB2312"/>
                <w:kern w:val="0"/>
                <w:sz w:val="30"/>
                <w:szCs w:val="30"/>
                <w:highlight w:val="yellow"/>
                <w:lang w:eastAsia="zh-CN" w:bidi="ar-SA"/>
              </w:rPr>
            </w:pPr>
            <w:r>
              <w:rPr>
                <w:rFonts w:hint="eastAsia" w:ascii="仿宋_GB2312" w:hAnsi="仿宋_GB2312" w:eastAsia="仿宋_GB2312" w:cs="仿宋_GB2312"/>
                <w:kern w:val="0"/>
                <w:sz w:val="30"/>
                <w:szCs w:val="30"/>
                <w:highlight w:val="none"/>
                <w:lang w:val="en-US" w:eastAsia="zh-CN" w:bidi="ar-SA"/>
              </w:rPr>
              <w:t>1</w:t>
            </w:r>
            <w:r>
              <w:rPr>
                <w:rFonts w:hint="eastAsia" w:ascii="仿宋_GB2312" w:hAnsi="仿宋_GB2312" w:eastAsia="仿宋_GB2312" w:cs="仿宋_GB2312"/>
                <w:kern w:val="0"/>
                <w:sz w:val="30"/>
                <w:szCs w:val="30"/>
                <w:highlight w:val="none"/>
                <w:lang w:eastAsia="zh-CN" w:bidi="ar-SA"/>
              </w:rPr>
              <w:t>0</w:t>
            </w:r>
          </w:p>
        </w:tc>
      </w:tr>
      <w:tr w14:paraId="38CA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2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EE2F38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4</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56CF4E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报价得分</w:t>
            </w:r>
          </w:p>
          <w:p w14:paraId="386C1E1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r>
              <w:rPr>
                <w:rFonts w:hint="eastAsia" w:ascii="仿宋_GB2312" w:hAnsi="仿宋_GB2312" w:eastAsia="仿宋_GB2312" w:cs="仿宋_GB2312"/>
                <w:kern w:val="0"/>
                <w:sz w:val="30"/>
                <w:szCs w:val="30"/>
                <w:highlight w:val="none"/>
                <w:lang w:val="en-US" w:eastAsia="zh-CN" w:bidi="ar-SA"/>
              </w:rPr>
              <w:t>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F8FD65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评审基准价为所有有效报价的算术平均值。</w:t>
            </w:r>
          </w:p>
          <w:p w14:paraId="58884B1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报价偏差率=（参选单位报价-评审基准价）/评审基准价×100%</w:t>
            </w:r>
          </w:p>
          <w:p w14:paraId="354D00D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参选单位报价等于评审基准价时，报价得满分，其余报价按以下规则扣分：</w:t>
            </w:r>
          </w:p>
          <w:p w14:paraId="72D7D6C7">
            <w:pPr>
              <w:keepNext w:val="0"/>
              <w:keepLines w:val="0"/>
              <w:pageBreakBefore w:val="0"/>
              <w:widowControl w:val="0"/>
              <w:numPr>
                <w:ilvl w:val="0"/>
                <w:numId w:val="8"/>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参选单位报价=（1-报价下浮%）*100为计算；</w:t>
            </w:r>
          </w:p>
          <w:p w14:paraId="66CDAB7E">
            <w:pPr>
              <w:keepNext w:val="0"/>
              <w:keepLines w:val="0"/>
              <w:pageBreakBefore w:val="0"/>
              <w:widowControl w:val="0"/>
              <w:numPr>
                <w:ilvl w:val="0"/>
                <w:numId w:val="8"/>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得分值计算小数点后取两位</w:t>
            </w:r>
            <w:r>
              <w:rPr>
                <w:rFonts w:hint="eastAsia" w:ascii="仿宋_GB2312" w:hAnsi="仿宋_GB2312" w:eastAsia="仿宋_GB2312" w:cs="仿宋_GB2312"/>
                <w:color w:val="auto"/>
                <w:kern w:val="0"/>
                <w:sz w:val="24"/>
                <w:szCs w:val="24"/>
                <w:highlight w:val="none"/>
                <w:lang w:val="en-US" w:eastAsia="zh-CN" w:bidi="ar-SA"/>
              </w:rPr>
              <w:t>小数（四舍五入）；</w:t>
            </w:r>
          </w:p>
          <w:p w14:paraId="78647D8C">
            <w:pPr>
              <w:keepNext w:val="0"/>
              <w:keepLines w:val="0"/>
              <w:pageBreakBefore w:val="0"/>
              <w:widowControl w:val="0"/>
              <w:numPr>
                <w:ilvl w:val="0"/>
                <w:numId w:val="8"/>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报价&gt;评审基准价，则报价得分=报价分值-报价偏差</w:t>
            </w:r>
            <w:r>
              <w:rPr>
                <w:rFonts w:hint="default" w:ascii="仿宋_GB2312" w:hAnsi="仿宋_GB2312" w:eastAsia="仿宋_GB2312" w:cs="仿宋_GB2312"/>
                <w:color w:val="auto"/>
                <w:kern w:val="0"/>
                <w:sz w:val="24"/>
                <w:szCs w:val="24"/>
                <w:highlight w:val="none"/>
                <w:shd w:val="clear"/>
                <w:lang w:val="en-US" w:eastAsia="zh-CN" w:bidi="ar-SA"/>
              </w:rPr>
              <w:t>率*100*E1 ，报价≤评审基准价，则报价得分=报价分值+报价偏差率*100*E2</w:t>
            </w:r>
            <w:r>
              <w:rPr>
                <w:rFonts w:hint="eastAsia" w:ascii="仿宋_GB2312" w:hAnsi="仿宋_GB2312" w:eastAsia="仿宋_GB2312" w:cs="仿宋_GB2312"/>
                <w:color w:val="auto"/>
                <w:kern w:val="0"/>
                <w:sz w:val="24"/>
                <w:szCs w:val="24"/>
                <w:highlight w:val="none"/>
                <w:shd w:val="clear"/>
                <w:lang w:val="en-US" w:eastAsia="zh-CN" w:bidi="ar-SA"/>
              </w:rPr>
              <w:t>；</w:t>
            </w:r>
          </w:p>
          <w:p w14:paraId="3D25B9F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报价偏差率每高1%的扣4分(E1），每低1%的扣2分（E2）（扣完为止）。</w:t>
            </w:r>
          </w:p>
          <w:p w14:paraId="3296A65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注：偏差率取两位小数计算（四舍五入）。</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4BB51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p>
        </w:tc>
      </w:tr>
      <w:tr w14:paraId="1A0CB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89"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335B14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5</w:t>
            </w:r>
          </w:p>
        </w:tc>
        <w:tc>
          <w:tcPr>
            <w:tcW w:w="7152"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7EFF6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评比总得分（100分）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910F1D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100</w:t>
            </w:r>
          </w:p>
        </w:tc>
      </w:tr>
    </w:tbl>
    <w:p w14:paraId="2C2D98F6">
      <w:pPr>
        <w:pStyle w:val="8"/>
        <w:widowControl w:val="0"/>
        <w:numPr>
          <w:ilvl w:val="0"/>
          <w:numId w:val="0"/>
        </w:numPr>
        <w:spacing w:after="0" w:line="360" w:lineRule="auto"/>
        <w:jc w:val="both"/>
        <w:rPr>
          <w:rFonts w:hint="default"/>
          <w:color w:val="auto"/>
          <w:highlight w:val="none"/>
          <w:u w:val="none"/>
          <w:lang w:val="en-US" w:eastAsia="zh-CN"/>
        </w:rPr>
        <w:sectPr>
          <w:pgSz w:w="11906" w:h="16838"/>
          <w:pgMar w:top="1440" w:right="1803" w:bottom="1440" w:left="1803" w:header="851" w:footer="992" w:gutter="0"/>
          <w:cols w:space="720" w:num="1"/>
          <w:rtlGutter w:val="0"/>
          <w:docGrid w:type="lines" w:linePitch="319" w:charSpace="0"/>
        </w:sectPr>
      </w:pPr>
    </w:p>
    <w:p w14:paraId="523D1750">
      <w:pPr>
        <w:pStyle w:val="12"/>
        <w:outlineLvl w:val="0"/>
        <w:rPr>
          <w:rFonts w:hint="eastAsia"/>
          <w:highlight w:val="none"/>
          <w:lang w:val="en-US" w:eastAsia="zh-CN"/>
        </w:rPr>
      </w:pPr>
      <w:r>
        <w:rPr>
          <w:highlight w:val="none"/>
        </w:rPr>
        <w:t>附件</w:t>
      </w:r>
      <w:r>
        <w:rPr>
          <w:rFonts w:hint="eastAsia"/>
          <w:highlight w:val="none"/>
          <w:lang w:val="en-US" w:eastAsia="zh-CN"/>
        </w:rPr>
        <w:t>四：</w:t>
      </w:r>
    </w:p>
    <w:p w14:paraId="4A495C9C">
      <w:pPr>
        <w:pStyle w:val="16"/>
        <w:outlineLvl w:val="9"/>
        <w:rPr>
          <w:rFonts w:hint="default" w:eastAsia="宋体"/>
          <w:highlight w:val="none"/>
          <w:lang w:val="en-US" w:eastAsia="zh-CN"/>
        </w:rPr>
      </w:pPr>
      <w:r>
        <w:rPr>
          <w:rFonts w:hint="eastAsia"/>
          <w:highlight w:val="none"/>
          <w:u w:val="single"/>
          <w:lang w:val="en-US" w:eastAsia="zh-CN"/>
        </w:rPr>
        <w:t>遂宁市安居区梧桐路片区城市污水管网整治及附属设施提升项目／遂宁市安居区城南旧城片区城市排水防涝整治建设项目（2标段）</w:t>
      </w:r>
      <w:r>
        <w:rPr>
          <w:highlight w:val="none"/>
          <w:u w:val="single"/>
        </w:rPr>
        <w:t xml:space="preserve"> </w:t>
      </w:r>
    </w:p>
    <w:p w14:paraId="46957218">
      <w:pPr>
        <w:pStyle w:val="16"/>
        <w:outlineLvl w:val="9"/>
        <w:rPr>
          <w:highlight w:val="none"/>
        </w:rPr>
      </w:pPr>
      <w:r>
        <w:rPr>
          <w:rFonts w:hint="eastAsia"/>
          <w:highlight w:val="none"/>
          <w:lang w:val="en-US" w:eastAsia="zh-CN"/>
        </w:rPr>
        <w:t>劳务工程</w:t>
      </w:r>
      <w:r>
        <w:rPr>
          <w:highlight w:val="none"/>
        </w:rPr>
        <w:t>报价表</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3548"/>
        <w:gridCol w:w="3021"/>
        <w:gridCol w:w="4742"/>
        <w:gridCol w:w="2162"/>
      </w:tblGrid>
      <w:tr w14:paraId="186D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244" w:type="pct"/>
            <w:noWrap w:val="0"/>
            <w:vAlign w:val="center"/>
          </w:tcPr>
          <w:p w14:paraId="4021FC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252" w:type="pct"/>
            <w:noWrap w:val="0"/>
            <w:vAlign w:val="center"/>
          </w:tcPr>
          <w:p w14:paraId="0C9FC1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标段</w:t>
            </w:r>
          </w:p>
        </w:tc>
        <w:tc>
          <w:tcPr>
            <w:tcW w:w="1066" w:type="pct"/>
            <w:noWrap w:val="0"/>
            <w:vAlign w:val="center"/>
          </w:tcPr>
          <w:p w14:paraId="2F669A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673" w:type="pct"/>
            <w:noWrap w:val="0"/>
            <w:vAlign w:val="center"/>
          </w:tcPr>
          <w:p w14:paraId="203872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lang w:val="en-US" w:eastAsia="zh-CN"/>
              </w:rPr>
              <w:t>控制价</w:t>
            </w:r>
          </w:p>
        </w:tc>
        <w:tc>
          <w:tcPr>
            <w:tcW w:w="763" w:type="pct"/>
            <w:noWrap w:val="0"/>
            <w:vAlign w:val="center"/>
          </w:tcPr>
          <w:p w14:paraId="5221EDD5">
            <w:pPr>
              <w:jc w:val="cente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2565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244" w:type="pct"/>
            <w:noWrap w:val="0"/>
            <w:vAlign w:val="center"/>
          </w:tcPr>
          <w:p w14:paraId="2DA108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252" w:type="pct"/>
            <w:noWrap w:val="0"/>
            <w:vAlign w:val="center"/>
          </w:tcPr>
          <w:p w14:paraId="66FD96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2标段</w:t>
            </w:r>
          </w:p>
        </w:tc>
        <w:tc>
          <w:tcPr>
            <w:tcW w:w="1066" w:type="pct"/>
            <w:noWrap w:val="0"/>
            <w:vAlign w:val="center"/>
          </w:tcPr>
          <w:p w14:paraId="385067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673" w:type="pct"/>
            <w:noWrap w:val="0"/>
            <w:vAlign w:val="center"/>
          </w:tcPr>
          <w:p w14:paraId="2E25AE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u w:val="single"/>
                <w:lang w:val="en-US" w:eastAsia="zh-CN"/>
              </w:rPr>
            </w:pPr>
            <w:r>
              <w:rPr>
                <w:rFonts w:hint="eastAsia" w:ascii="仿宋_GB2312" w:hAnsi="仿宋_GB2312" w:eastAsia="仿宋_GB2312" w:cs="仿宋_GB2312"/>
                <w:sz w:val="30"/>
                <w:szCs w:val="30"/>
                <w:highlight w:val="none"/>
                <w:u w:val="single"/>
                <w:lang w:val="en-US" w:eastAsia="zh-CN"/>
              </w:rPr>
              <w:t>下浮 18 %作为限低价</w:t>
            </w:r>
          </w:p>
          <w:p w14:paraId="2BAB81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u w:val="single"/>
                <w:lang w:val="en-US" w:eastAsia="zh-CN"/>
              </w:rPr>
            </w:pPr>
            <w:r>
              <w:rPr>
                <w:rFonts w:hint="eastAsia" w:ascii="仿宋_GB2312" w:hAnsi="仿宋_GB2312" w:eastAsia="仿宋_GB2312" w:cs="仿宋_GB2312"/>
                <w:sz w:val="30"/>
                <w:szCs w:val="30"/>
                <w:highlight w:val="none"/>
                <w:u w:val="single"/>
                <w:lang w:val="en-US" w:eastAsia="zh-CN"/>
              </w:rPr>
              <w:t>下浮 12 %作为限高价</w:t>
            </w:r>
          </w:p>
          <w:p w14:paraId="1F57E1CC">
            <w:pPr>
              <w:pStyle w:val="8"/>
              <w:ind w:left="0" w:leftChars="0" w:firstLine="0" w:firstLineChars="0"/>
              <w:rPr>
                <w:rFonts w:hint="eastAsia"/>
                <w:highlight w:val="none"/>
                <w:lang w:val="en-US" w:eastAsia="zh-CN"/>
              </w:rPr>
            </w:pPr>
          </w:p>
        </w:tc>
        <w:tc>
          <w:tcPr>
            <w:tcW w:w="763" w:type="pct"/>
            <w:noWrap w:val="0"/>
            <w:vAlign w:val="center"/>
          </w:tcPr>
          <w:p w14:paraId="349BD7E3">
            <w:pPr>
              <w:jc w:val="center"/>
              <w:rPr>
                <w:rFonts w:hint="eastAsia" w:ascii="仿宋_GB2312" w:hAnsi="仿宋_GB2312" w:eastAsia="仿宋_GB2312" w:cs="仿宋_GB2312"/>
                <w:sz w:val="30"/>
                <w:szCs w:val="30"/>
                <w:highlight w:val="none"/>
              </w:rPr>
            </w:pPr>
          </w:p>
        </w:tc>
      </w:tr>
    </w:tbl>
    <w:p w14:paraId="67B531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eastAsia="zh-CN"/>
        </w:rPr>
      </w:pP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ascii="Times New Roman" w:hAnsi="Times New Roman" w:eastAsia="宋体" w:cs="Times New Roman"/>
          <w:sz w:val="24"/>
          <w:szCs w:val="30"/>
          <w:highlight w:val="none"/>
          <w:lang w:eastAsia="zh-CN"/>
        </w:rPr>
        <w:t>：</w:t>
      </w:r>
    </w:p>
    <w:p w14:paraId="11C253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电</w:t>
      </w: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话：</w:t>
      </w:r>
    </w:p>
    <w:p w14:paraId="45B2DA94">
      <w:pPr>
        <w:keepNext w:val="0"/>
        <w:keepLines w:val="0"/>
        <w:pageBreakBefore w:val="0"/>
        <w:widowControl w:val="0"/>
        <w:kinsoku/>
        <w:wordWrap/>
        <w:overflowPunct/>
        <w:topLinePunct w:val="0"/>
        <w:autoSpaceDE/>
        <w:autoSpaceDN/>
        <w:bidi w:val="0"/>
        <w:adjustRightInd/>
        <w:snapToGrid/>
        <w:spacing w:line="560" w:lineRule="exact"/>
        <w:textAlignment w:val="auto"/>
        <w:rPr>
          <w:highlight w:val="none"/>
        </w:rPr>
      </w:pPr>
      <w:r>
        <w:rPr>
          <w:rFonts w:hint="eastAsia" w:ascii="Times New Roman" w:hAnsi="Times New Roman" w:eastAsia="宋体" w:cs="Times New Roman"/>
          <w:sz w:val="24"/>
          <w:szCs w:val="30"/>
          <w:highlight w:val="none"/>
        </w:rPr>
        <w:t xml:space="preserve">                                                                </w:t>
      </w: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sectPr>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1">
    <w:nsid w:val="B4BE3C81"/>
    <w:multiLevelType w:val="singleLevel"/>
    <w:tmpl w:val="B4BE3C81"/>
    <w:lvl w:ilvl="0" w:tentative="0">
      <w:start w:val="1"/>
      <w:numFmt w:val="decimal"/>
      <w:lvlText w:val="%1."/>
      <w:lvlJc w:val="left"/>
      <w:pPr>
        <w:tabs>
          <w:tab w:val="left" w:pos="312"/>
        </w:tabs>
      </w:pPr>
    </w:lvl>
  </w:abstractNum>
  <w:abstractNum w:abstractNumId="2">
    <w:nsid w:val="CEC917F0"/>
    <w:multiLevelType w:val="singleLevel"/>
    <w:tmpl w:val="CEC917F0"/>
    <w:lvl w:ilvl="0" w:tentative="0">
      <w:start w:val="1"/>
      <w:numFmt w:val="decimalEnclosedCircleChinese"/>
      <w:suff w:val="nothing"/>
      <w:lvlText w:val="%1　"/>
      <w:lvlJc w:val="left"/>
      <w:pPr>
        <w:ind w:left="0" w:firstLine="400"/>
      </w:pPr>
      <w:rPr>
        <w:rFonts w:hint="eastAsia"/>
      </w:rPr>
    </w:lvl>
  </w:abstractNum>
  <w:abstractNum w:abstractNumId="3">
    <w:nsid w:val="D3FEF36E"/>
    <w:multiLevelType w:val="singleLevel"/>
    <w:tmpl w:val="D3FEF36E"/>
    <w:lvl w:ilvl="0" w:tentative="0">
      <w:start w:val="1"/>
      <w:numFmt w:val="decimalEnclosedCircleChinese"/>
      <w:suff w:val="nothing"/>
      <w:lvlText w:val="%1　"/>
      <w:lvlJc w:val="left"/>
      <w:pPr>
        <w:ind w:left="0" w:firstLine="400"/>
      </w:pPr>
      <w:rPr>
        <w:rFonts w:hint="eastAsia"/>
      </w:rPr>
    </w:lvl>
  </w:abstractNum>
  <w:abstractNum w:abstractNumId="4">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5">
    <w:nsid w:val="F918AB32"/>
    <w:multiLevelType w:val="singleLevel"/>
    <w:tmpl w:val="F918AB32"/>
    <w:lvl w:ilvl="0" w:tentative="0">
      <w:start w:val="1"/>
      <w:numFmt w:val="decimal"/>
      <w:lvlText w:val="%1."/>
      <w:lvlJc w:val="left"/>
      <w:pPr>
        <w:tabs>
          <w:tab w:val="left" w:pos="312"/>
        </w:tabs>
      </w:pPr>
    </w:lvl>
  </w:abstractNum>
  <w:abstractNum w:abstractNumId="6">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7">
    <w:nsid w:val="7465EA9F"/>
    <w:multiLevelType w:val="singleLevel"/>
    <w:tmpl w:val="7465EA9F"/>
    <w:lvl w:ilvl="0" w:tentative="0">
      <w:start w:val="1"/>
      <w:numFmt w:val="decimalEnclosedCircleChinese"/>
      <w:suff w:val="nothing"/>
      <w:lvlText w:val="%1　"/>
      <w:lvlJc w:val="left"/>
      <w:pPr>
        <w:ind w:left="0" w:firstLine="400"/>
      </w:pPr>
      <w:rPr>
        <w:rFonts w:hint="eastAsia"/>
      </w:rPr>
    </w:lvl>
  </w:abstractNum>
  <w:num w:numId="1">
    <w:abstractNumId w:val="2"/>
  </w:num>
  <w:num w:numId="2">
    <w:abstractNumId w:val="3"/>
  </w:num>
  <w:num w:numId="3">
    <w:abstractNumId w:val="7"/>
  </w:num>
  <w:num w:numId="4">
    <w:abstractNumId w:val="0"/>
  </w:num>
  <w:num w:numId="5">
    <w:abstractNumId w:val="4"/>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72C34"/>
    <w:rsid w:val="000C024B"/>
    <w:rsid w:val="00351550"/>
    <w:rsid w:val="003C1A8D"/>
    <w:rsid w:val="005E0AA6"/>
    <w:rsid w:val="009A5857"/>
    <w:rsid w:val="009F4FFA"/>
    <w:rsid w:val="00AB71A3"/>
    <w:rsid w:val="00D832A7"/>
    <w:rsid w:val="01050F22"/>
    <w:rsid w:val="01066A48"/>
    <w:rsid w:val="012B64AF"/>
    <w:rsid w:val="01341807"/>
    <w:rsid w:val="0196601E"/>
    <w:rsid w:val="019B53E2"/>
    <w:rsid w:val="01BD35AB"/>
    <w:rsid w:val="02316BA8"/>
    <w:rsid w:val="0261487E"/>
    <w:rsid w:val="028B36A9"/>
    <w:rsid w:val="02AB38B7"/>
    <w:rsid w:val="02B7780F"/>
    <w:rsid w:val="02E5725D"/>
    <w:rsid w:val="035E4919"/>
    <w:rsid w:val="036E7C0E"/>
    <w:rsid w:val="03822CFE"/>
    <w:rsid w:val="03942A31"/>
    <w:rsid w:val="039B5B6E"/>
    <w:rsid w:val="03AD58A1"/>
    <w:rsid w:val="03E017D2"/>
    <w:rsid w:val="03E62D75"/>
    <w:rsid w:val="03F5700C"/>
    <w:rsid w:val="041E77AB"/>
    <w:rsid w:val="045A1585"/>
    <w:rsid w:val="04904FA7"/>
    <w:rsid w:val="04930AD9"/>
    <w:rsid w:val="049F168E"/>
    <w:rsid w:val="04BB57F9"/>
    <w:rsid w:val="04D01847"/>
    <w:rsid w:val="05031C1C"/>
    <w:rsid w:val="052E47BF"/>
    <w:rsid w:val="054B711F"/>
    <w:rsid w:val="054F4E62"/>
    <w:rsid w:val="05575AC4"/>
    <w:rsid w:val="05790131"/>
    <w:rsid w:val="057C19CF"/>
    <w:rsid w:val="05A30D0A"/>
    <w:rsid w:val="05AB7BBE"/>
    <w:rsid w:val="05C0658D"/>
    <w:rsid w:val="05F91288"/>
    <w:rsid w:val="060722D1"/>
    <w:rsid w:val="061F2A86"/>
    <w:rsid w:val="0624009C"/>
    <w:rsid w:val="063E1007"/>
    <w:rsid w:val="06695AAF"/>
    <w:rsid w:val="068E19BA"/>
    <w:rsid w:val="071D689A"/>
    <w:rsid w:val="0753050D"/>
    <w:rsid w:val="077E1A2E"/>
    <w:rsid w:val="07907370"/>
    <w:rsid w:val="07DC0503"/>
    <w:rsid w:val="07E04497"/>
    <w:rsid w:val="07F678B4"/>
    <w:rsid w:val="082D0DDC"/>
    <w:rsid w:val="08430198"/>
    <w:rsid w:val="08557972"/>
    <w:rsid w:val="088F37C7"/>
    <w:rsid w:val="089D7C92"/>
    <w:rsid w:val="08A96637"/>
    <w:rsid w:val="08AE6343"/>
    <w:rsid w:val="08B576D2"/>
    <w:rsid w:val="08BA6A96"/>
    <w:rsid w:val="08DA7138"/>
    <w:rsid w:val="09000221"/>
    <w:rsid w:val="09111F90"/>
    <w:rsid w:val="091A0985"/>
    <w:rsid w:val="09383E5F"/>
    <w:rsid w:val="09442803"/>
    <w:rsid w:val="095742E5"/>
    <w:rsid w:val="09976DD7"/>
    <w:rsid w:val="09A3577C"/>
    <w:rsid w:val="09A432A2"/>
    <w:rsid w:val="09C83435"/>
    <w:rsid w:val="09EA0B40"/>
    <w:rsid w:val="09F63AFE"/>
    <w:rsid w:val="0A4C5E14"/>
    <w:rsid w:val="0A60541B"/>
    <w:rsid w:val="0A7964DD"/>
    <w:rsid w:val="0AAA2B3A"/>
    <w:rsid w:val="0AC43BFC"/>
    <w:rsid w:val="0AF261CB"/>
    <w:rsid w:val="0B2621C1"/>
    <w:rsid w:val="0B301291"/>
    <w:rsid w:val="0B3C19E4"/>
    <w:rsid w:val="0B3C7C36"/>
    <w:rsid w:val="0B3D39AE"/>
    <w:rsid w:val="0B464611"/>
    <w:rsid w:val="0B512FB6"/>
    <w:rsid w:val="0B6C7DF0"/>
    <w:rsid w:val="0BA94999"/>
    <w:rsid w:val="0BB43253"/>
    <w:rsid w:val="0BDF05C2"/>
    <w:rsid w:val="0BEA7692"/>
    <w:rsid w:val="0BED2CDE"/>
    <w:rsid w:val="0BFC1173"/>
    <w:rsid w:val="0C040028"/>
    <w:rsid w:val="0C1069CD"/>
    <w:rsid w:val="0C1B5A9E"/>
    <w:rsid w:val="0C1C1816"/>
    <w:rsid w:val="0C3B7EEE"/>
    <w:rsid w:val="0C4D53B2"/>
    <w:rsid w:val="0C4D7C21"/>
    <w:rsid w:val="0CDD2D53"/>
    <w:rsid w:val="0CE9794A"/>
    <w:rsid w:val="0D200E92"/>
    <w:rsid w:val="0D4F4AE4"/>
    <w:rsid w:val="0D7D0092"/>
    <w:rsid w:val="0D7F02AE"/>
    <w:rsid w:val="0DC7755F"/>
    <w:rsid w:val="0DC9777B"/>
    <w:rsid w:val="0DCE6B40"/>
    <w:rsid w:val="0DE545B5"/>
    <w:rsid w:val="0E20609D"/>
    <w:rsid w:val="0E456E02"/>
    <w:rsid w:val="0E682AF0"/>
    <w:rsid w:val="0F052A35"/>
    <w:rsid w:val="0F152C78"/>
    <w:rsid w:val="0F411D39"/>
    <w:rsid w:val="0FB471A8"/>
    <w:rsid w:val="0FD06B9F"/>
    <w:rsid w:val="0FE8213B"/>
    <w:rsid w:val="1025513D"/>
    <w:rsid w:val="108005C5"/>
    <w:rsid w:val="108C6F6A"/>
    <w:rsid w:val="10B71946"/>
    <w:rsid w:val="10BE2E9B"/>
    <w:rsid w:val="10C8445A"/>
    <w:rsid w:val="10D64689"/>
    <w:rsid w:val="11297E47"/>
    <w:rsid w:val="118D53A4"/>
    <w:rsid w:val="11AA3420"/>
    <w:rsid w:val="11B524F0"/>
    <w:rsid w:val="11D30BC8"/>
    <w:rsid w:val="11ED1C8A"/>
    <w:rsid w:val="121D5710"/>
    <w:rsid w:val="12502EC6"/>
    <w:rsid w:val="125515DD"/>
    <w:rsid w:val="12C7072D"/>
    <w:rsid w:val="13001549"/>
    <w:rsid w:val="13531FC1"/>
    <w:rsid w:val="137D2B9A"/>
    <w:rsid w:val="13906D71"/>
    <w:rsid w:val="139C5281"/>
    <w:rsid w:val="13E40E6B"/>
    <w:rsid w:val="13F61FEF"/>
    <w:rsid w:val="146A5814"/>
    <w:rsid w:val="14D902A4"/>
    <w:rsid w:val="14E76E65"/>
    <w:rsid w:val="14EB5E7B"/>
    <w:rsid w:val="1514752E"/>
    <w:rsid w:val="153F4C73"/>
    <w:rsid w:val="15512590"/>
    <w:rsid w:val="155700D2"/>
    <w:rsid w:val="156B0BFC"/>
    <w:rsid w:val="1574621E"/>
    <w:rsid w:val="15826B8D"/>
    <w:rsid w:val="15897F1C"/>
    <w:rsid w:val="15AC740B"/>
    <w:rsid w:val="15CA4090"/>
    <w:rsid w:val="15D64EC1"/>
    <w:rsid w:val="15F07F9B"/>
    <w:rsid w:val="16027CCE"/>
    <w:rsid w:val="161C0D90"/>
    <w:rsid w:val="16302179"/>
    <w:rsid w:val="163B617B"/>
    <w:rsid w:val="164B3423"/>
    <w:rsid w:val="167A1613"/>
    <w:rsid w:val="16930926"/>
    <w:rsid w:val="16B8213B"/>
    <w:rsid w:val="170B2BB3"/>
    <w:rsid w:val="17173305"/>
    <w:rsid w:val="171750B3"/>
    <w:rsid w:val="172B1C15"/>
    <w:rsid w:val="17367C2F"/>
    <w:rsid w:val="176F3141"/>
    <w:rsid w:val="17B648CC"/>
    <w:rsid w:val="17E4768B"/>
    <w:rsid w:val="17F17FFA"/>
    <w:rsid w:val="18616F2E"/>
    <w:rsid w:val="18673E19"/>
    <w:rsid w:val="187A1D9E"/>
    <w:rsid w:val="18860743"/>
    <w:rsid w:val="18FC0A05"/>
    <w:rsid w:val="19157D18"/>
    <w:rsid w:val="193B694A"/>
    <w:rsid w:val="1954439D"/>
    <w:rsid w:val="195E16BF"/>
    <w:rsid w:val="196640D0"/>
    <w:rsid w:val="1A606D71"/>
    <w:rsid w:val="1A8B0292"/>
    <w:rsid w:val="1B157B5C"/>
    <w:rsid w:val="1B2304CB"/>
    <w:rsid w:val="1B3A5814"/>
    <w:rsid w:val="1B590390"/>
    <w:rsid w:val="1B5A1A13"/>
    <w:rsid w:val="1B910F69"/>
    <w:rsid w:val="1B981220"/>
    <w:rsid w:val="1BB750B7"/>
    <w:rsid w:val="1BC021BE"/>
    <w:rsid w:val="1BC3580A"/>
    <w:rsid w:val="1BE7774A"/>
    <w:rsid w:val="1C00080C"/>
    <w:rsid w:val="1C057BD0"/>
    <w:rsid w:val="1C136791"/>
    <w:rsid w:val="1C25283A"/>
    <w:rsid w:val="1C746B04"/>
    <w:rsid w:val="1C83617B"/>
    <w:rsid w:val="1C84143D"/>
    <w:rsid w:val="1C922125"/>
    <w:rsid w:val="1CB33AD0"/>
    <w:rsid w:val="1CC01C8A"/>
    <w:rsid w:val="1CD06430"/>
    <w:rsid w:val="1CFD2F9D"/>
    <w:rsid w:val="1D1C3424"/>
    <w:rsid w:val="1D6848BB"/>
    <w:rsid w:val="1D6D0123"/>
    <w:rsid w:val="1D880AB9"/>
    <w:rsid w:val="1D8E3FE2"/>
    <w:rsid w:val="1DCA7323"/>
    <w:rsid w:val="1DDE5900"/>
    <w:rsid w:val="1E067C30"/>
    <w:rsid w:val="1E087E4C"/>
    <w:rsid w:val="1E171E3D"/>
    <w:rsid w:val="1E197963"/>
    <w:rsid w:val="1E2017E9"/>
    <w:rsid w:val="1E285DF8"/>
    <w:rsid w:val="1E2F7187"/>
    <w:rsid w:val="1E391DB3"/>
    <w:rsid w:val="1E3E73CA"/>
    <w:rsid w:val="1E733517"/>
    <w:rsid w:val="1EA05CC2"/>
    <w:rsid w:val="1EFB67CF"/>
    <w:rsid w:val="1F2B2044"/>
    <w:rsid w:val="1F52137F"/>
    <w:rsid w:val="1F6B68ED"/>
    <w:rsid w:val="1F703EFB"/>
    <w:rsid w:val="1F8D23B7"/>
    <w:rsid w:val="1FC55FF4"/>
    <w:rsid w:val="1FC87893"/>
    <w:rsid w:val="1FD75D28"/>
    <w:rsid w:val="1FF64400"/>
    <w:rsid w:val="200D1749"/>
    <w:rsid w:val="200D34F7"/>
    <w:rsid w:val="200F04DE"/>
    <w:rsid w:val="2020322B"/>
    <w:rsid w:val="204A40E1"/>
    <w:rsid w:val="20713A86"/>
    <w:rsid w:val="209459C7"/>
    <w:rsid w:val="20AC0F62"/>
    <w:rsid w:val="20AF45AF"/>
    <w:rsid w:val="20C75D9C"/>
    <w:rsid w:val="20D81D57"/>
    <w:rsid w:val="20FF02B4"/>
    <w:rsid w:val="21130FE1"/>
    <w:rsid w:val="21350F58"/>
    <w:rsid w:val="214910B2"/>
    <w:rsid w:val="218E68BA"/>
    <w:rsid w:val="219E4D4F"/>
    <w:rsid w:val="21B300CF"/>
    <w:rsid w:val="21D40771"/>
    <w:rsid w:val="21D97B35"/>
    <w:rsid w:val="220A4192"/>
    <w:rsid w:val="22305CDC"/>
    <w:rsid w:val="2274785E"/>
    <w:rsid w:val="2286654D"/>
    <w:rsid w:val="228850B7"/>
    <w:rsid w:val="229972C4"/>
    <w:rsid w:val="2304121A"/>
    <w:rsid w:val="23053227"/>
    <w:rsid w:val="230A01C2"/>
    <w:rsid w:val="2318643B"/>
    <w:rsid w:val="233D0598"/>
    <w:rsid w:val="23425BAE"/>
    <w:rsid w:val="23713D9D"/>
    <w:rsid w:val="237D2742"/>
    <w:rsid w:val="239E56BB"/>
    <w:rsid w:val="23F70746"/>
    <w:rsid w:val="240D69FB"/>
    <w:rsid w:val="24134E54"/>
    <w:rsid w:val="24174945"/>
    <w:rsid w:val="241C1574"/>
    <w:rsid w:val="243948BB"/>
    <w:rsid w:val="243C25FD"/>
    <w:rsid w:val="244514B2"/>
    <w:rsid w:val="24455956"/>
    <w:rsid w:val="249D704F"/>
    <w:rsid w:val="24C22B02"/>
    <w:rsid w:val="24CE0F21"/>
    <w:rsid w:val="24D26ABE"/>
    <w:rsid w:val="24E0567E"/>
    <w:rsid w:val="24E30E17"/>
    <w:rsid w:val="24FB6014"/>
    <w:rsid w:val="251B0465"/>
    <w:rsid w:val="257D4C7B"/>
    <w:rsid w:val="25AD4B37"/>
    <w:rsid w:val="25E116AE"/>
    <w:rsid w:val="25F25669"/>
    <w:rsid w:val="25FA62CC"/>
    <w:rsid w:val="25FD5DBC"/>
    <w:rsid w:val="26413EFB"/>
    <w:rsid w:val="264D28A0"/>
    <w:rsid w:val="266C71AC"/>
    <w:rsid w:val="2684130D"/>
    <w:rsid w:val="268F110A"/>
    <w:rsid w:val="26C37006"/>
    <w:rsid w:val="26D42FC1"/>
    <w:rsid w:val="26DB60FD"/>
    <w:rsid w:val="26E054C2"/>
    <w:rsid w:val="271B0BF0"/>
    <w:rsid w:val="27391076"/>
    <w:rsid w:val="276A7481"/>
    <w:rsid w:val="27787DF0"/>
    <w:rsid w:val="27826579"/>
    <w:rsid w:val="27910EB2"/>
    <w:rsid w:val="27912C60"/>
    <w:rsid w:val="27B04698"/>
    <w:rsid w:val="27C941A8"/>
    <w:rsid w:val="27DD5EA5"/>
    <w:rsid w:val="27E5541C"/>
    <w:rsid w:val="283755B5"/>
    <w:rsid w:val="283C0E1E"/>
    <w:rsid w:val="284952E9"/>
    <w:rsid w:val="284F6DA3"/>
    <w:rsid w:val="285C501C"/>
    <w:rsid w:val="288051AE"/>
    <w:rsid w:val="288F719F"/>
    <w:rsid w:val="28A569C3"/>
    <w:rsid w:val="28BE7A85"/>
    <w:rsid w:val="28C72DDD"/>
    <w:rsid w:val="28C826B1"/>
    <w:rsid w:val="28CB21A2"/>
    <w:rsid w:val="28D20310"/>
    <w:rsid w:val="28D76D98"/>
    <w:rsid w:val="28E90D64"/>
    <w:rsid w:val="290B259E"/>
    <w:rsid w:val="291476A5"/>
    <w:rsid w:val="291C47AB"/>
    <w:rsid w:val="293B2E83"/>
    <w:rsid w:val="293E30BA"/>
    <w:rsid w:val="29746395"/>
    <w:rsid w:val="29802F8C"/>
    <w:rsid w:val="29C42E79"/>
    <w:rsid w:val="2A0E0598"/>
    <w:rsid w:val="2A50113D"/>
    <w:rsid w:val="2A720B27"/>
    <w:rsid w:val="2A88659C"/>
    <w:rsid w:val="2AA902C1"/>
    <w:rsid w:val="2AC62C21"/>
    <w:rsid w:val="2B0C0F7B"/>
    <w:rsid w:val="2B674404"/>
    <w:rsid w:val="2BC132AC"/>
    <w:rsid w:val="2BEF69F9"/>
    <w:rsid w:val="2C063C1D"/>
    <w:rsid w:val="2C091017"/>
    <w:rsid w:val="2C210A56"/>
    <w:rsid w:val="2C583D4C"/>
    <w:rsid w:val="2C646B95"/>
    <w:rsid w:val="2C901ED7"/>
    <w:rsid w:val="2CF91A3F"/>
    <w:rsid w:val="2D0F6B01"/>
    <w:rsid w:val="2D12039F"/>
    <w:rsid w:val="2D1C121E"/>
    <w:rsid w:val="2D1C4D7A"/>
    <w:rsid w:val="2D484A27"/>
    <w:rsid w:val="2D4F514F"/>
    <w:rsid w:val="2D5029B9"/>
    <w:rsid w:val="2D5A2500"/>
    <w:rsid w:val="2D654973"/>
    <w:rsid w:val="2D796670"/>
    <w:rsid w:val="2DA84860"/>
    <w:rsid w:val="2DB12B6C"/>
    <w:rsid w:val="2DB80F46"/>
    <w:rsid w:val="2DC21DC5"/>
    <w:rsid w:val="2DD815E9"/>
    <w:rsid w:val="2DE27D71"/>
    <w:rsid w:val="2E277E7A"/>
    <w:rsid w:val="2E2A34C6"/>
    <w:rsid w:val="2E3C1B78"/>
    <w:rsid w:val="2E5A0250"/>
    <w:rsid w:val="2E620EB2"/>
    <w:rsid w:val="2E700A6A"/>
    <w:rsid w:val="2E7330BF"/>
    <w:rsid w:val="2EAF2A1C"/>
    <w:rsid w:val="2EB37960"/>
    <w:rsid w:val="2EB84F76"/>
    <w:rsid w:val="2ECB1C8A"/>
    <w:rsid w:val="2EFA10EB"/>
    <w:rsid w:val="2F6A022C"/>
    <w:rsid w:val="2F6F3887"/>
    <w:rsid w:val="2FC00586"/>
    <w:rsid w:val="2FCC6F2B"/>
    <w:rsid w:val="2FD14541"/>
    <w:rsid w:val="300F506A"/>
    <w:rsid w:val="30161F54"/>
    <w:rsid w:val="303D3985"/>
    <w:rsid w:val="308B0B94"/>
    <w:rsid w:val="30ED2E37"/>
    <w:rsid w:val="30FF3071"/>
    <w:rsid w:val="31061FC9"/>
    <w:rsid w:val="310D15A9"/>
    <w:rsid w:val="310F6C24"/>
    <w:rsid w:val="312E32CE"/>
    <w:rsid w:val="318178A1"/>
    <w:rsid w:val="31857392"/>
    <w:rsid w:val="318F1FBE"/>
    <w:rsid w:val="31AA13B8"/>
    <w:rsid w:val="31D16A7B"/>
    <w:rsid w:val="31DD71CE"/>
    <w:rsid w:val="32052280"/>
    <w:rsid w:val="320C360F"/>
    <w:rsid w:val="32313105"/>
    <w:rsid w:val="324E00CB"/>
    <w:rsid w:val="32537490"/>
    <w:rsid w:val="326F1DF0"/>
    <w:rsid w:val="32987598"/>
    <w:rsid w:val="32E242A8"/>
    <w:rsid w:val="33020A39"/>
    <w:rsid w:val="33024A12"/>
    <w:rsid w:val="33727DEA"/>
    <w:rsid w:val="33B232A1"/>
    <w:rsid w:val="33DF064D"/>
    <w:rsid w:val="33FB393B"/>
    <w:rsid w:val="33FE3469"/>
    <w:rsid w:val="34140EA1"/>
    <w:rsid w:val="341E3522"/>
    <w:rsid w:val="342B5F2F"/>
    <w:rsid w:val="34425A0E"/>
    <w:rsid w:val="34A51AF9"/>
    <w:rsid w:val="34AE4E51"/>
    <w:rsid w:val="34AE613C"/>
    <w:rsid w:val="34CE1050"/>
    <w:rsid w:val="34E16FD5"/>
    <w:rsid w:val="34F55208"/>
    <w:rsid w:val="34F767F8"/>
    <w:rsid w:val="34F77462"/>
    <w:rsid w:val="34FC3E0F"/>
    <w:rsid w:val="3522139B"/>
    <w:rsid w:val="35303AB8"/>
    <w:rsid w:val="35472BB0"/>
    <w:rsid w:val="3550415A"/>
    <w:rsid w:val="3569521C"/>
    <w:rsid w:val="35731BF7"/>
    <w:rsid w:val="358D0F0B"/>
    <w:rsid w:val="35977693"/>
    <w:rsid w:val="35CF5AD7"/>
    <w:rsid w:val="35FE5313"/>
    <w:rsid w:val="361502FC"/>
    <w:rsid w:val="36257395"/>
    <w:rsid w:val="36557DE0"/>
    <w:rsid w:val="36624145"/>
    <w:rsid w:val="366652B8"/>
    <w:rsid w:val="36873BAC"/>
    <w:rsid w:val="368F480F"/>
    <w:rsid w:val="36B61854"/>
    <w:rsid w:val="36FA4230"/>
    <w:rsid w:val="37585548"/>
    <w:rsid w:val="37623CD1"/>
    <w:rsid w:val="378123A9"/>
    <w:rsid w:val="37906A90"/>
    <w:rsid w:val="37D018E8"/>
    <w:rsid w:val="37F64539"/>
    <w:rsid w:val="38284F1B"/>
    <w:rsid w:val="385C6972"/>
    <w:rsid w:val="385F2910"/>
    <w:rsid w:val="38657F1D"/>
    <w:rsid w:val="38710670"/>
    <w:rsid w:val="387719FE"/>
    <w:rsid w:val="38795776"/>
    <w:rsid w:val="38D1110E"/>
    <w:rsid w:val="38DE320D"/>
    <w:rsid w:val="38E2331B"/>
    <w:rsid w:val="38F65019"/>
    <w:rsid w:val="39400042"/>
    <w:rsid w:val="39477622"/>
    <w:rsid w:val="39777F08"/>
    <w:rsid w:val="39B5458C"/>
    <w:rsid w:val="3A015A23"/>
    <w:rsid w:val="3A2D6818"/>
    <w:rsid w:val="3A35111E"/>
    <w:rsid w:val="3A4A561C"/>
    <w:rsid w:val="3A677B49"/>
    <w:rsid w:val="3A6A7A6C"/>
    <w:rsid w:val="3A7E7074"/>
    <w:rsid w:val="3A804B9A"/>
    <w:rsid w:val="3A90478F"/>
    <w:rsid w:val="3AAC3BE1"/>
    <w:rsid w:val="3AAD1707"/>
    <w:rsid w:val="3AB850B9"/>
    <w:rsid w:val="3AF9494C"/>
    <w:rsid w:val="3B1D063B"/>
    <w:rsid w:val="3B365BA1"/>
    <w:rsid w:val="3B381919"/>
    <w:rsid w:val="3B4E7D96"/>
    <w:rsid w:val="3B676AB9"/>
    <w:rsid w:val="3BC10DF7"/>
    <w:rsid w:val="3C101F4E"/>
    <w:rsid w:val="3C2459F9"/>
    <w:rsid w:val="3C320116"/>
    <w:rsid w:val="3C65673D"/>
    <w:rsid w:val="3C834E15"/>
    <w:rsid w:val="3C9012E0"/>
    <w:rsid w:val="3C925059"/>
    <w:rsid w:val="3CA32DC2"/>
    <w:rsid w:val="3CA63EDC"/>
    <w:rsid w:val="3CA64660"/>
    <w:rsid w:val="3CE138EA"/>
    <w:rsid w:val="3D301336"/>
    <w:rsid w:val="3D581DFE"/>
    <w:rsid w:val="3D65451B"/>
    <w:rsid w:val="3DA908AC"/>
    <w:rsid w:val="3DAD746C"/>
    <w:rsid w:val="3DE25B6C"/>
    <w:rsid w:val="3DF71617"/>
    <w:rsid w:val="3DFC6C2D"/>
    <w:rsid w:val="3E0C4997"/>
    <w:rsid w:val="3E1D6BA4"/>
    <w:rsid w:val="3E2D328B"/>
    <w:rsid w:val="3E3F4D6C"/>
    <w:rsid w:val="3E4D7489"/>
    <w:rsid w:val="3E4F1453"/>
    <w:rsid w:val="3E51223F"/>
    <w:rsid w:val="3E517B65"/>
    <w:rsid w:val="3E5D51F2"/>
    <w:rsid w:val="3E70154D"/>
    <w:rsid w:val="3E75078E"/>
    <w:rsid w:val="3E997402"/>
    <w:rsid w:val="3EB2553E"/>
    <w:rsid w:val="3EBC73E8"/>
    <w:rsid w:val="3EC94FA6"/>
    <w:rsid w:val="3ECD2378"/>
    <w:rsid w:val="3EF618CF"/>
    <w:rsid w:val="3F037A8F"/>
    <w:rsid w:val="3F0F2990"/>
    <w:rsid w:val="3F427EE2"/>
    <w:rsid w:val="3F43263A"/>
    <w:rsid w:val="3F516B05"/>
    <w:rsid w:val="3F676329"/>
    <w:rsid w:val="3F9335C1"/>
    <w:rsid w:val="3F9966FE"/>
    <w:rsid w:val="3F9F3D14"/>
    <w:rsid w:val="3FDE0859"/>
    <w:rsid w:val="401D2E8B"/>
    <w:rsid w:val="402B1A4C"/>
    <w:rsid w:val="40797931"/>
    <w:rsid w:val="407A652F"/>
    <w:rsid w:val="40A35A86"/>
    <w:rsid w:val="40B732E0"/>
    <w:rsid w:val="40BE641C"/>
    <w:rsid w:val="40CB28E7"/>
    <w:rsid w:val="40D45C40"/>
    <w:rsid w:val="40D53766"/>
    <w:rsid w:val="40D7128C"/>
    <w:rsid w:val="40FE2CBD"/>
    <w:rsid w:val="41076015"/>
    <w:rsid w:val="410F0A26"/>
    <w:rsid w:val="410F6C78"/>
    <w:rsid w:val="41110C42"/>
    <w:rsid w:val="412C5A7C"/>
    <w:rsid w:val="412E19BE"/>
    <w:rsid w:val="41444309"/>
    <w:rsid w:val="41962EF5"/>
    <w:rsid w:val="419B5E1D"/>
    <w:rsid w:val="41C31810"/>
    <w:rsid w:val="41EE2D31"/>
    <w:rsid w:val="41FF4F3E"/>
    <w:rsid w:val="42073DF3"/>
    <w:rsid w:val="42244224"/>
    <w:rsid w:val="424B3CDF"/>
    <w:rsid w:val="426A513B"/>
    <w:rsid w:val="42770F78"/>
    <w:rsid w:val="42AE0712"/>
    <w:rsid w:val="42B23D5F"/>
    <w:rsid w:val="42E83C24"/>
    <w:rsid w:val="42F97BDF"/>
    <w:rsid w:val="43236A0A"/>
    <w:rsid w:val="435117C9"/>
    <w:rsid w:val="4387343D"/>
    <w:rsid w:val="43D321DE"/>
    <w:rsid w:val="43E2516D"/>
    <w:rsid w:val="43F87E97"/>
    <w:rsid w:val="43FB34E3"/>
    <w:rsid w:val="451E56DB"/>
    <w:rsid w:val="454F7F8B"/>
    <w:rsid w:val="45790B64"/>
    <w:rsid w:val="457F3DDC"/>
    <w:rsid w:val="45C467DA"/>
    <w:rsid w:val="45FD1795"/>
    <w:rsid w:val="460E39A2"/>
    <w:rsid w:val="466E4440"/>
    <w:rsid w:val="46C25D0A"/>
    <w:rsid w:val="46D87B0C"/>
    <w:rsid w:val="471274C2"/>
    <w:rsid w:val="47307948"/>
    <w:rsid w:val="47543636"/>
    <w:rsid w:val="476B6BD2"/>
    <w:rsid w:val="478C7274"/>
    <w:rsid w:val="47A66166"/>
    <w:rsid w:val="47A868D9"/>
    <w:rsid w:val="47AB6FCE"/>
    <w:rsid w:val="47B75ED6"/>
    <w:rsid w:val="47C841F6"/>
    <w:rsid w:val="47CD33E9"/>
    <w:rsid w:val="47E726FC"/>
    <w:rsid w:val="47FC5A7C"/>
    <w:rsid w:val="480520F9"/>
    <w:rsid w:val="480A63EB"/>
    <w:rsid w:val="48223734"/>
    <w:rsid w:val="489A01DD"/>
    <w:rsid w:val="48C52312"/>
    <w:rsid w:val="48D04F3E"/>
    <w:rsid w:val="48D81B3F"/>
    <w:rsid w:val="48D82045"/>
    <w:rsid w:val="48F74BC1"/>
    <w:rsid w:val="490966A2"/>
    <w:rsid w:val="493A2D00"/>
    <w:rsid w:val="4970227E"/>
    <w:rsid w:val="49793828"/>
    <w:rsid w:val="49C56A6D"/>
    <w:rsid w:val="49D00F6E"/>
    <w:rsid w:val="4A3B288C"/>
    <w:rsid w:val="4A730277"/>
    <w:rsid w:val="4A7C3B90"/>
    <w:rsid w:val="4A9B332A"/>
    <w:rsid w:val="4AC72371"/>
    <w:rsid w:val="4ACA3C0F"/>
    <w:rsid w:val="4ADA6548"/>
    <w:rsid w:val="4B4E423F"/>
    <w:rsid w:val="4B7C13AE"/>
    <w:rsid w:val="4B870E35"/>
    <w:rsid w:val="4B8A1D1C"/>
    <w:rsid w:val="4BE64A79"/>
    <w:rsid w:val="4C0D0DB0"/>
    <w:rsid w:val="4C147838"/>
    <w:rsid w:val="4C1F06B5"/>
    <w:rsid w:val="4C211F55"/>
    <w:rsid w:val="4C231829"/>
    <w:rsid w:val="4C433C79"/>
    <w:rsid w:val="4C663702"/>
    <w:rsid w:val="4C786019"/>
    <w:rsid w:val="4C883D82"/>
    <w:rsid w:val="4CCC58EA"/>
    <w:rsid w:val="4CE73006"/>
    <w:rsid w:val="4CFB6302"/>
    <w:rsid w:val="4D453A21"/>
    <w:rsid w:val="4D64659D"/>
    <w:rsid w:val="4D673998"/>
    <w:rsid w:val="4D722A68"/>
    <w:rsid w:val="4D73058E"/>
    <w:rsid w:val="4DAE5A6A"/>
    <w:rsid w:val="4DBD7A5B"/>
    <w:rsid w:val="4DE1374A"/>
    <w:rsid w:val="4E4B5067"/>
    <w:rsid w:val="4E6F51FA"/>
    <w:rsid w:val="4E731753"/>
    <w:rsid w:val="4E8D38D2"/>
    <w:rsid w:val="4E8D742E"/>
    <w:rsid w:val="4EB26E94"/>
    <w:rsid w:val="4EB40E5E"/>
    <w:rsid w:val="4EC15329"/>
    <w:rsid w:val="4ECA0682"/>
    <w:rsid w:val="4F293C72"/>
    <w:rsid w:val="4F511E31"/>
    <w:rsid w:val="4F513583"/>
    <w:rsid w:val="4F98252E"/>
    <w:rsid w:val="4FA42C81"/>
    <w:rsid w:val="4FB21842"/>
    <w:rsid w:val="4FD712A8"/>
    <w:rsid w:val="4FE13ED5"/>
    <w:rsid w:val="500656EA"/>
    <w:rsid w:val="500A342C"/>
    <w:rsid w:val="5023629C"/>
    <w:rsid w:val="503E30D6"/>
    <w:rsid w:val="508B5BEF"/>
    <w:rsid w:val="50A849F3"/>
    <w:rsid w:val="50BE7306"/>
    <w:rsid w:val="50E377D9"/>
    <w:rsid w:val="50EC0D83"/>
    <w:rsid w:val="50F639B0"/>
    <w:rsid w:val="515801C7"/>
    <w:rsid w:val="515E4352"/>
    <w:rsid w:val="51782617"/>
    <w:rsid w:val="51861CB7"/>
    <w:rsid w:val="51B25F1C"/>
    <w:rsid w:val="52081BED"/>
    <w:rsid w:val="520E6AD8"/>
    <w:rsid w:val="5224454D"/>
    <w:rsid w:val="522D172B"/>
    <w:rsid w:val="522D3402"/>
    <w:rsid w:val="523429E2"/>
    <w:rsid w:val="5244074B"/>
    <w:rsid w:val="526D37FE"/>
    <w:rsid w:val="528872B6"/>
    <w:rsid w:val="529C68B6"/>
    <w:rsid w:val="52A116FA"/>
    <w:rsid w:val="52B7716F"/>
    <w:rsid w:val="52CA0C50"/>
    <w:rsid w:val="52E006DA"/>
    <w:rsid w:val="532F6D06"/>
    <w:rsid w:val="533D7674"/>
    <w:rsid w:val="53650979"/>
    <w:rsid w:val="53B8319F"/>
    <w:rsid w:val="53E421E6"/>
    <w:rsid w:val="5426635A"/>
    <w:rsid w:val="542919A7"/>
    <w:rsid w:val="54640C31"/>
    <w:rsid w:val="54C52F6D"/>
    <w:rsid w:val="54C6369A"/>
    <w:rsid w:val="54CB6F02"/>
    <w:rsid w:val="54D25F71"/>
    <w:rsid w:val="54DC23C8"/>
    <w:rsid w:val="54FC530D"/>
    <w:rsid w:val="55807CEC"/>
    <w:rsid w:val="55AA6B17"/>
    <w:rsid w:val="55BA31FE"/>
    <w:rsid w:val="55CF657E"/>
    <w:rsid w:val="55ED3302"/>
    <w:rsid w:val="55F97DD2"/>
    <w:rsid w:val="5640122A"/>
    <w:rsid w:val="564023A4"/>
    <w:rsid w:val="56442CA7"/>
    <w:rsid w:val="56554CD5"/>
    <w:rsid w:val="565D1FD4"/>
    <w:rsid w:val="567A60F2"/>
    <w:rsid w:val="56920CFF"/>
    <w:rsid w:val="569F0646"/>
    <w:rsid w:val="56A93F14"/>
    <w:rsid w:val="56C41E5B"/>
    <w:rsid w:val="56E46059"/>
    <w:rsid w:val="56F03D6C"/>
    <w:rsid w:val="56F16594"/>
    <w:rsid w:val="57034731"/>
    <w:rsid w:val="571C57F3"/>
    <w:rsid w:val="574134AB"/>
    <w:rsid w:val="575701B5"/>
    <w:rsid w:val="57692728"/>
    <w:rsid w:val="57783371"/>
    <w:rsid w:val="57B7551B"/>
    <w:rsid w:val="57D61E46"/>
    <w:rsid w:val="58291826"/>
    <w:rsid w:val="583F3E8F"/>
    <w:rsid w:val="58474AF1"/>
    <w:rsid w:val="595B0854"/>
    <w:rsid w:val="596F2552"/>
    <w:rsid w:val="598D29D8"/>
    <w:rsid w:val="59A02A53"/>
    <w:rsid w:val="59B30690"/>
    <w:rsid w:val="59B91A1F"/>
    <w:rsid w:val="5A1B6236"/>
    <w:rsid w:val="5A6A2B66"/>
    <w:rsid w:val="5A7F21B4"/>
    <w:rsid w:val="5AA224B3"/>
    <w:rsid w:val="5ADA7E9F"/>
    <w:rsid w:val="5AE747D8"/>
    <w:rsid w:val="5AED1980"/>
    <w:rsid w:val="5AEE74A6"/>
    <w:rsid w:val="5AF54CD9"/>
    <w:rsid w:val="5AFD593B"/>
    <w:rsid w:val="5B0373F5"/>
    <w:rsid w:val="5B0B62AA"/>
    <w:rsid w:val="5B24736C"/>
    <w:rsid w:val="5BB60D38"/>
    <w:rsid w:val="5BC76675"/>
    <w:rsid w:val="5BEF1728"/>
    <w:rsid w:val="5C0E6052"/>
    <w:rsid w:val="5C1E1C0C"/>
    <w:rsid w:val="5C2C472A"/>
    <w:rsid w:val="5C341831"/>
    <w:rsid w:val="5C3517A5"/>
    <w:rsid w:val="5C427AAA"/>
    <w:rsid w:val="5C446F67"/>
    <w:rsid w:val="5C6E4D42"/>
    <w:rsid w:val="5C7B2FBB"/>
    <w:rsid w:val="5CA12A44"/>
    <w:rsid w:val="5CB84210"/>
    <w:rsid w:val="5CCA7DBF"/>
    <w:rsid w:val="5CDC6150"/>
    <w:rsid w:val="5CEB6393"/>
    <w:rsid w:val="5D042FB1"/>
    <w:rsid w:val="5D1D4073"/>
    <w:rsid w:val="5D4E06D0"/>
    <w:rsid w:val="5D5977A1"/>
    <w:rsid w:val="5D616655"/>
    <w:rsid w:val="5D6323CD"/>
    <w:rsid w:val="5D6972B8"/>
    <w:rsid w:val="5D6E48CE"/>
    <w:rsid w:val="5D8F31C2"/>
    <w:rsid w:val="5D9F2CDA"/>
    <w:rsid w:val="5DB04EE7"/>
    <w:rsid w:val="5DBF512A"/>
    <w:rsid w:val="5DEC21C1"/>
    <w:rsid w:val="5E1E4546"/>
    <w:rsid w:val="5E39312E"/>
    <w:rsid w:val="5ECD7C67"/>
    <w:rsid w:val="5EE70DDC"/>
    <w:rsid w:val="5EEE216B"/>
    <w:rsid w:val="5F08322C"/>
    <w:rsid w:val="5F21609C"/>
    <w:rsid w:val="5F30008D"/>
    <w:rsid w:val="5F6E26D0"/>
    <w:rsid w:val="5F750196"/>
    <w:rsid w:val="5FAB3BB8"/>
    <w:rsid w:val="5FBF1411"/>
    <w:rsid w:val="5FC92290"/>
    <w:rsid w:val="5FCF5AF8"/>
    <w:rsid w:val="60193217"/>
    <w:rsid w:val="604211F6"/>
    <w:rsid w:val="60634492"/>
    <w:rsid w:val="609109AD"/>
    <w:rsid w:val="60F977C1"/>
    <w:rsid w:val="61613DE8"/>
    <w:rsid w:val="61C55544"/>
    <w:rsid w:val="61F53810"/>
    <w:rsid w:val="62015D11"/>
    <w:rsid w:val="62065A1D"/>
    <w:rsid w:val="622C2343"/>
    <w:rsid w:val="623779B1"/>
    <w:rsid w:val="626D15F8"/>
    <w:rsid w:val="62832BCA"/>
    <w:rsid w:val="628D57F7"/>
    <w:rsid w:val="62917095"/>
    <w:rsid w:val="63147CC6"/>
    <w:rsid w:val="63204B99"/>
    <w:rsid w:val="63332842"/>
    <w:rsid w:val="63526744"/>
    <w:rsid w:val="63612F0B"/>
    <w:rsid w:val="636A4F2C"/>
    <w:rsid w:val="636C365E"/>
    <w:rsid w:val="63984453"/>
    <w:rsid w:val="63BD210C"/>
    <w:rsid w:val="640146EE"/>
    <w:rsid w:val="640B731B"/>
    <w:rsid w:val="6410048D"/>
    <w:rsid w:val="64243F39"/>
    <w:rsid w:val="64265F03"/>
    <w:rsid w:val="64281C7B"/>
    <w:rsid w:val="64833355"/>
    <w:rsid w:val="64852BFC"/>
    <w:rsid w:val="64923598"/>
    <w:rsid w:val="649D4417"/>
    <w:rsid w:val="64BD0E51"/>
    <w:rsid w:val="652E506F"/>
    <w:rsid w:val="65491EA9"/>
    <w:rsid w:val="654C3747"/>
    <w:rsid w:val="6593581A"/>
    <w:rsid w:val="65BF660F"/>
    <w:rsid w:val="65C04A9C"/>
    <w:rsid w:val="65CB4FB4"/>
    <w:rsid w:val="65D26342"/>
    <w:rsid w:val="65D73958"/>
    <w:rsid w:val="65EA6B6B"/>
    <w:rsid w:val="660D4C01"/>
    <w:rsid w:val="66524D8D"/>
    <w:rsid w:val="66617209"/>
    <w:rsid w:val="667E2026"/>
    <w:rsid w:val="668138C4"/>
    <w:rsid w:val="66D87988"/>
    <w:rsid w:val="670F7C1E"/>
    <w:rsid w:val="673426E5"/>
    <w:rsid w:val="674F7B85"/>
    <w:rsid w:val="67650AF0"/>
    <w:rsid w:val="67851192"/>
    <w:rsid w:val="67C038AA"/>
    <w:rsid w:val="67FA56DC"/>
    <w:rsid w:val="682D5AB2"/>
    <w:rsid w:val="6841330B"/>
    <w:rsid w:val="684D1CB0"/>
    <w:rsid w:val="68572B2F"/>
    <w:rsid w:val="68624EAE"/>
    <w:rsid w:val="688E3A76"/>
    <w:rsid w:val="68C63810"/>
    <w:rsid w:val="68D4417F"/>
    <w:rsid w:val="6908207B"/>
    <w:rsid w:val="692C5D69"/>
    <w:rsid w:val="692D388F"/>
    <w:rsid w:val="69362744"/>
    <w:rsid w:val="69390410"/>
    <w:rsid w:val="696C43B8"/>
    <w:rsid w:val="69787200"/>
    <w:rsid w:val="69EE301F"/>
    <w:rsid w:val="6A01148B"/>
    <w:rsid w:val="6A026ACA"/>
    <w:rsid w:val="6A1D1B56"/>
    <w:rsid w:val="6A4175F2"/>
    <w:rsid w:val="6A445335"/>
    <w:rsid w:val="6A70612A"/>
    <w:rsid w:val="6A86594D"/>
    <w:rsid w:val="6AA06A0F"/>
    <w:rsid w:val="6AB976EA"/>
    <w:rsid w:val="6AF97ECD"/>
    <w:rsid w:val="6B1116BB"/>
    <w:rsid w:val="6B217424"/>
    <w:rsid w:val="6B2A62D8"/>
    <w:rsid w:val="6B444B5F"/>
    <w:rsid w:val="6B543355"/>
    <w:rsid w:val="6B621F16"/>
    <w:rsid w:val="6B7632CC"/>
    <w:rsid w:val="6B777044"/>
    <w:rsid w:val="6BBB0A9C"/>
    <w:rsid w:val="6BD80EE5"/>
    <w:rsid w:val="6C152874"/>
    <w:rsid w:val="6C3C4515"/>
    <w:rsid w:val="6C580C23"/>
    <w:rsid w:val="6C7A3290"/>
    <w:rsid w:val="6CB01A17"/>
    <w:rsid w:val="6CB70040"/>
    <w:rsid w:val="6CD96208"/>
    <w:rsid w:val="6CDE5792"/>
    <w:rsid w:val="6CE32BE3"/>
    <w:rsid w:val="6CEB1A97"/>
    <w:rsid w:val="6CF3094C"/>
    <w:rsid w:val="6CFC1EF7"/>
    <w:rsid w:val="6D260D22"/>
    <w:rsid w:val="6D365409"/>
    <w:rsid w:val="6D4D4500"/>
    <w:rsid w:val="6D7E46BA"/>
    <w:rsid w:val="6DB85E1E"/>
    <w:rsid w:val="6DD644F6"/>
    <w:rsid w:val="6DDA2238"/>
    <w:rsid w:val="6DDB29E3"/>
    <w:rsid w:val="6E1119D2"/>
    <w:rsid w:val="6E11552E"/>
    <w:rsid w:val="6E2214E9"/>
    <w:rsid w:val="6E5B49FB"/>
    <w:rsid w:val="6E6C09B6"/>
    <w:rsid w:val="6E737F96"/>
    <w:rsid w:val="6ED3324E"/>
    <w:rsid w:val="6EE40E94"/>
    <w:rsid w:val="6F2179F2"/>
    <w:rsid w:val="6F455D89"/>
    <w:rsid w:val="6F4B0F13"/>
    <w:rsid w:val="6F525DFE"/>
    <w:rsid w:val="6F7B2807"/>
    <w:rsid w:val="6F991C7F"/>
    <w:rsid w:val="6FAA5C3A"/>
    <w:rsid w:val="6FAA79E8"/>
    <w:rsid w:val="6FB8220D"/>
    <w:rsid w:val="6FC62348"/>
    <w:rsid w:val="6FEE5677"/>
    <w:rsid w:val="6FF670D1"/>
    <w:rsid w:val="702A6D7B"/>
    <w:rsid w:val="702E59DC"/>
    <w:rsid w:val="7056191E"/>
    <w:rsid w:val="707D6EAA"/>
    <w:rsid w:val="70926DFA"/>
    <w:rsid w:val="70AB3A18"/>
    <w:rsid w:val="70BA1EAD"/>
    <w:rsid w:val="70C67288"/>
    <w:rsid w:val="70CB230C"/>
    <w:rsid w:val="70EC5DDE"/>
    <w:rsid w:val="70ED4030"/>
    <w:rsid w:val="71031AA6"/>
    <w:rsid w:val="710D56A8"/>
    <w:rsid w:val="71137D38"/>
    <w:rsid w:val="71202F6F"/>
    <w:rsid w:val="71397275"/>
    <w:rsid w:val="713F0604"/>
    <w:rsid w:val="717C7162"/>
    <w:rsid w:val="719426FE"/>
    <w:rsid w:val="71AD7C63"/>
    <w:rsid w:val="71B2527A"/>
    <w:rsid w:val="71C32FE3"/>
    <w:rsid w:val="71CA4371"/>
    <w:rsid w:val="721455EC"/>
    <w:rsid w:val="722515A8"/>
    <w:rsid w:val="723E08BB"/>
    <w:rsid w:val="72561A95"/>
    <w:rsid w:val="72620A4E"/>
    <w:rsid w:val="72750781"/>
    <w:rsid w:val="729D2012"/>
    <w:rsid w:val="729D3834"/>
    <w:rsid w:val="729F135A"/>
    <w:rsid w:val="72BB1F0C"/>
    <w:rsid w:val="72F0059F"/>
    <w:rsid w:val="72F83160"/>
    <w:rsid w:val="72FC307A"/>
    <w:rsid w:val="72FD0776"/>
    <w:rsid w:val="73012015"/>
    <w:rsid w:val="730B2E93"/>
    <w:rsid w:val="73397A01"/>
    <w:rsid w:val="73611683"/>
    <w:rsid w:val="73626993"/>
    <w:rsid w:val="73634A7D"/>
    <w:rsid w:val="738148F5"/>
    <w:rsid w:val="73B01345"/>
    <w:rsid w:val="73CF3490"/>
    <w:rsid w:val="73DD4830"/>
    <w:rsid w:val="73E46B2D"/>
    <w:rsid w:val="73F13E37"/>
    <w:rsid w:val="73FB2F08"/>
    <w:rsid w:val="741F4F5A"/>
    <w:rsid w:val="7439758C"/>
    <w:rsid w:val="74480A84"/>
    <w:rsid w:val="74485A21"/>
    <w:rsid w:val="74905E04"/>
    <w:rsid w:val="74AB66DC"/>
    <w:rsid w:val="74B11819"/>
    <w:rsid w:val="74B310ED"/>
    <w:rsid w:val="74C27582"/>
    <w:rsid w:val="74D3178F"/>
    <w:rsid w:val="74D67B95"/>
    <w:rsid w:val="74E5550E"/>
    <w:rsid w:val="74FC0CE6"/>
    <w:rsid w:val="756D573F"/>
    <w:rsid w:val="7576231F"/>
    <w:rsid w:val="757F36C5"/>
    <w:rsid w:val="75AC19ED"/>
    <w:rsid w:val="75CD61DE"/>
    <w:rsid w:val="7601057E"/>
    <w:rsid w:val="764B35A7"/>
    <w:rsid w:val="765863F0"/>
    <w:rsid w:val="767E1BCE"/>
    <w:rsid w:val="76A209D1"/>
    <w:rsid w:val="76A96C4B"/>
    <w:rsid w:val="76B13D52"/>
    <w:rsid w:val="76CC0B8C"/>
    <w:rsid w:val="76CE0460"/>
    <w:rsid w:val="771340C5"/>
    <w:rsid w:val="772E0EFE"/>
    <w:rsid w:val="774424D0"/>
    <w:rsid w:val="774626E1"/>
    <w:rsid w:val="77521091"/>
    <w:rsid w:val="77577B1B"/>
    <w:rsid w:val="77E51F05"/>
    <w:rsid w:val="77ED2B68"/>
    <w:rsid w:val="77F04406"/>
    <w:rsid w:val="78183B02"/>
    <w:rsid w:val="786848E4"/>
    <w:rsid w:val="78763E05"/>
    <w:rsid w:val="78955A57"/>
    <w:rsid w:val="78972AD3"/>
    <w:rsid w:val="78B31218"/>
    <w:rsid w:val="78E55F35"/>
    <w:rsid w:val="79102FB2"/>
    <w:rsid w:val="79416DF5"/>
    <w:rsid w:val="79865022"/>
    <w:rsid w:val="79C67B14"/>
    <w:rsid w:val="79D55FA9"/>
    <w:rsid w:val="79EE0E19"/>
    <w:rsid w:val="7A0128FA"/>
    <w:rsid w:val="7A173ECC"/>
    <w:rsid w:val="7A2D1941"/>
    <w:rsid w:val="7A3F5C2C"/>
    <w:rsid w:val="7A721A4A"/>
    <w:rsid w:val="7A7632E8"/>
    <w:rsid w:val="7A94376E"/>
    <w:rsid w:val="7AA03EC1"/>
    <w:rsid w:val="7AD4000F"/>
    <w:rsid w:val="7AF16E13"/>
    <w:rsid w:val="7B310FBD"/>
    <w:rsid w:val="7B381201"/>
    <w:rsid w:val="7B474C85"/>
    <w:rsid w:val="7B5573A2"/>
    <w:rsid w:val="7B6B5126"/>
    <w:rsid w:val="7B7D06A6"/>
    <w:rsid w:val="7B9A1258"/>
    <w:rsid w:val="7BB35E76"/>
    <w:rsid w:val="7BC260B9"/>
    <w:rsid w:val="7BE97AEA"/>
    <w:rsid w:val="7BF26E13"/>
    <w:rsid w:val="7BF81ADB"/>
    <w:rsid w:val="7C1D7794"/>
    <w:rsid w:val="7C1F46EF"/>
    <w:rsid w:val="7C321491"/>
    <w:rsid w:val="7C3A3BD8"/>
    <w:rsid w:val="7C6D071B"/>
    <w:rsid w:val="7CA103C5"/>
    <w:rsid w:val="7CCD740C"/>
    <w:rsid w:val="7CD97B5E"/>
    <w:rsid w:val="7CE81B50"/>
    <w:rsid w:val="7CF404F4"/>
    <w:rsid w:val="7D407BDD"/>
    <w:rsid w:val="7D470F6C"/>
    <w:rsid w:val="7D965A4F"/>
    <w:rsid w:val="7DA63EE4"/>
    <w:rsid w:val="7DA97531"/>
    <w:rsid w:val="7DAB36AB"/>
    <w:rsid w:val="7DC12ACC"/>
    <w:rsid w:val="7DF033B2"/>
    <w:rsid w:val="7E266DD3"/>
    <w:rsid w:val="7E350F33"/>
    <w:rsid w:val="7E4454AB"/>
    <w:rsid w:val="7E70004F"/>
    <w:rsid w:val="7E775881"/>
    <w:rsid w:val="7E9F26E2"/>
    <w:rsid w:val="7EB30231"/>
    <w:rsid w:val="7EF50554"/>
    <w:rsid w:val="7F4C2DEE"/>
    <w:rsid w:val="7F531E4A"/>
    <w:rsid w:val="7F545789"/>
    <w:rsid w:val="7F753FEA"/>
    <w:rsid w:val="7FA36202"/>
    <w:rsid w:val="7FA75CF2"/>
    <w:rsid w:val="7FDA141C"/>
    <w:rsid w:val="7FEA5BDF"/>
    <w:rsid w:val="7FEC5DFB"/>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5"/>
    <w:qFormat/>
    <w:uiPriority w:val="0"/>
    <w:pPr>
      <w:ind w:firstLine="210"/>
    </w:pPr>
    <w:rPr>
      <w:sz w:val="21"/>
      <w:szCs w:val="20"/>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0"/>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 w:type="paragraph" w:customStyle="1" w:styleId="17">
    <w:name w:val="Body Text First Indent 21"/>
    <w:basedOn w:val="18"/>
    <w:autoRedefine/>
    <w:qFormat/>
    <w:uiPriority w:val="0"/>
    <w:pPr>
      <w:ind w:firstLine="420" w:firstLineChars="200"/>
    </w:pPr>
  </w:style>
  <w:style w:type="paragraph" w:customStyle="1" w:styleId="18">
    <w:name w:val="Body Text Indent1"/>
    <w:basedOn w:val="1"/>
    <w:qFormat/>
    <w:uiPriority w:val="0"/>
    <w:pPr>
      <w:ind w:firstLine="624"/>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5341</Words>
  <Characters>5594</Characters>
  <Lines>0</Lines>
  <Paragraphs>0</Paragraphs>
  <TotalTime>1</TotalTime>
  <ScaleCrop>false</ScaleCrop>
  <LinksUpToDate>false</LinksUpToDate>
  <CharactersWithSpaces>5772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2025-07-24T06:31:00Z</cp:lastPrinted>
  <dcterms:modified xsi:type="dcterms:W3CDTF">2025-07-25T13:34:49Z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9E1F51C5CB8B4648A299F90631979152_11</vt:lpwstr>
  </property>
  <property fmtid="{D5CDD505-2E9C-101B-9397-08002B2CF9AE}" pid="4" name="KSOTemplateDocerSaveRecord">
    <vt:lpwstr>eyJoZGlkIjoiZWEzN2UwMjlkN2NkZTc3N2UzODNmNTQ2ZTA3YmYwYTUiLCJ1c2VySWQiOiI3MDQxNDEwNzMifQ==</vt:lpwstr>
  </property>
</Properties>
</file>