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B6C9">
      <w:pPr>
        <w:pStyle w:val="4"/>
        <w:bidi w:val="0"/>
        <w:jc w:val="center"/>
        <w:rPr>
          <w:rFonts w:hint="eastAsia" w:ascii="仿宋_GB2312" w:hAnsi="仿宋_GB2312" w:eastAsia="仿宋_GB2312" w:cs="仿宋_GB2312"/>
          <w:color w:val="000000" w:themeColor="text1"/>
          <w:sz w:val="32"/>
          <w:szCs w:val="32"/>
          <w:highlight w:val="none"/>
          <w:u w:val="none"/>
          <w:shd w:val="clear" w:color="auto" w:fill="auto"/>
          <w:lang w:val="en-US" w:eastAsia="zh-CN"/>
          <w14:textFill>
            <w14:solidFill>
              <w14:schemeClr w14:val="tx1"/>
            </w14:solidFill>
          </w14:textFill>
        </w:rPr>
      </w:pPr>
      <w:r>
        <w:rPr>
          <w:rFonts w:hint="eastAsia"/>
          <w:lang w:eastAsia="zh-CN"/>
        </w:rPr>
        <w:t>遂宁市安居区梧桐路片区城市污水管网整治及附属设施提升项目／遂宁市安居区城南旧城片区城市排水防涝整治建设项目</w:t>
      </w:r>
      <w:r>
        <w:rPr>
          <w:rFonts w:hint="eastAsia"/>
          <w:lang w:val="en-US" w:eastAsia="zh-CN"/>
        </w:rPr>
        <w:t>灯杆</w:t>
      </w:r>
      <w:r>
        <w:rPr>
          <w:rFonts w:hint="default"/>
          <w:lang w:eastAsia="zh-CN"/>
        </w:rPr>
        <w:t>采购</w:t>
      </w:r>
      <w:r>
        <w:rPr>
          <w:rFonts w:hint="eastAsia"/>
          <w:lang w:eastAsia="zh-CN"/>
        </w:rPr>
        <w:t>报价</w:t>
      </w:r>
      <w:r>
        <w:rPr>
          <w:rFonts w:hint="eastAsia"/>
          <w:lang w:val="en-US" w:eastAsia="zh-CN"/>
        </w:rPr>
        <w:t>比选</w:t>
      </w:r>
      <w:r>
        <w:rPr>
          <w:rFonts w:hint="eastAsia"/>
          <w:lang w:eastAsia="zh-CN"/>
        </w:rPr>
        <w:t>邀请函</w:t>
      </w:r>
    </w:p>
    <w:p w14:paraId="723F42E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各单位：</w:t>
      </w:r>
    </w:p>
    <w:p w14:paraId="4407AA5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我司</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中标的</w:t>
      </w:r>
      <w:r>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遂宁市安居区梧桐路片区城市污水管网整治及附属设施提升项目／遂宁市安居区城南旧城片区城市排水防涝整治建设项目</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正在建设中，现准备就其中</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灯杆</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进行采购，现诚邀各单位进行报价，具体要求及报价表格式如下：</w:t>
      </w:r>
    </w:p>
    <w:p w14:paraId="206D72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工程</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概况</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招标清单中的全部材料。</w:t>
      </w:r>
    </w:p>
    <w:p w14:paraId="5DF6F8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2、资质要求：</w:t>
      </w:r>
    </w:p>
    <w:p w14:paraId="3F3844D2">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firstLine="600" w:firstLineChars="200"/>
        <w:textAlignment w:val="auto"/>
        <w:rPr>
          <w:rFonts w:hint="eastAsia"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auto"/>
          <w:sz w:val="30"/>
          <w:szCs w:val="30"/>
          <w:highlight w:val="none"/>
          <w:lang w:eastAsia="zh-CN"/>
        </w:rPr>
        <w:t>投标人须具备独立企业法人资格，并且同时具备国家行政主管部门颁发的</w:t>
      </w:r>
      <w:r>
        <w:rPr>
          <w:rFonts w:hint="eastAsia" w:ascii="仿宋_GB2312" w:hAnsi="仿宋_GB2312" w:eastAsia="仿宋_GB2312" w:cs="仿宋_GB2312"/>
          <w:color w:val="auto"/>
          <w:sz w:val="30"/>
          <w:szCs w:val="30"/>
          <w:highlight w:val="none"/>
          <w:lang w:val="en-US" w:eastAsia="zh-CN"/>
        </w:rPr>
        <w:t>相关经营资质。</w:t>
      </w:r>
    </w:p>
    <w:p w14:paraId="61951123">
      <w:pPr>
        <w:keepNext w:val="0"/>
        <w:keepLines w:val="0"/>
        <w:widowControl w:val="0"/>
        <w:suppressLineNumbers w:val="0"/>
        <w:autoSpaceDE w:val="0"/>
        <w:autoSpaceDN w:val="0"/>
        <w:adjustRightInd w:val="0"/>
        <w:spacing w:before="0" w:beforeAutospacing="0" w:after="0" w:afterAutospacing="0" w:line="360" w:lineRule="auto"/>
        <w:ind w:left="0" w:right="0" w:firstLine="600" w:firstLineChars="200"/>
        <w:jc w:val="both"/>
        <w:rPr>
          <w:rFonts w:hint="default" w:ascii="仿宋_GB2312" w:hAnsi="仿宋_GB2312" w:eastAsia="仿宋_GB2312" w:cs="仿宋_GB2312"/>
          <w:color w:val="000000" w:themeColor="text1"/>
          <w:sz w:val="30"/>
          <w:szCs w:val="30"/>
          <w:highlight w:val="yellow"/>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highlight w:val="none"/>
          <w:shd w:val="clear" w:color="auto" w:fill="auto"/>
          <w14:textFill>
            <w14:solidFill>
              <w14:schemeClr w14:val="tx1"/>
            </w14:solidFill>
          </w14:textFill>
        </w:rPr>
        <w:t>报价要求及其他：</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数量详附件1，</w:t>
      </w: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控制价：3045505.36元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大写：叁佰零肆万伍仟伍佰零伍元叁角陆分),以单项不含税报价为基础，超过控制价视为废标,综合总价最低的单位中选，最终结算价按实际供货数量进行结算。工程费用包含但不限于材料、运输、装卸及施工损耗等一切相关费用；产品质量标准符合设计图纸要求、现行国家规范、采购人要求。</w:t>
      </w:r>
    </w:p>
    <w:p w14:paraId="58A308C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kern w:val="2"/>
          <w:sz w:val="30"/>
          <w:szCs w:val="30"/>
          <w:highlight w:val="none"/>
          <w:u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若出现两家及以上单位报价相同则采取抽乒乓球方式确定中选单位，抽取方式：在密闭箱内放入与参与抽取的比选申请人相同数量的乒乓球，且乒乓球在密闭箱中抓取号球，由抽到号球1的单位中选</w:t>
      </w:r>
    </w:p>
    <w:p w14:paraId="6321F8E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4、施工工期：工期为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 30 </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天。</w:t>
      </w:r>
    </w:p>
    <w:p w14:paraId="6D3DBA7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5、施工要求：满足施工图纸及现行相关规范要求，经主管部门验收合格。</w:t>
      </w:r>
    </w:p>
    <w:p w14:paraId="0C23D46F">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6、请愿意参加本次报价的单位于2025年12月1日上午9点30分前将加盖企业鲜章的有效的营业执照复印件、资质证书、报价表、法人代表身份证明（适用于法人代表亲自报价）或法人代表授权委托书（适用于委托代理人报价）密封并现场递交至鹏安公司，未现场递交或逾期递交视为自动放弃（若开选时，参选单位不足三家或资格审查通过单位不足三家，则视为本次比选无效）。</w:t>
      </w:r>
    </w:p>
    <w:p w14:paraId="407A97DA">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7、我公司将于2025年12月1日上午9点30分在鹏安公司办公室统一拆封所有报价资料，报价单位必须到场参加。报价资料递交地址：遂宁市安居区黄林路190号凤凰半岛三期一层商铺联系人：唐先生，联系电话：0825-8666908。</w:t>
      </w:r>
    </w:p>
    <w:p w14:paraId="6165F5D4">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pPr>
    </w:p>
    <w:p w14:paraId="239B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附件1：采购</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清单和报价表；</w:t>
      </w:r>
    </w:p>
    <w:p w14:paraId="3FE9A5AB">
      <w:pPr>
        <w:pStyle w:val="13"/>
        <w:pageBreakBefore w:val="0"/>
        <w:widowControl w:val="0"/>
        <w:numPr>
          <w:ilvl w:val="4"/>
          <w:numId w:val="0"/>
        </w:numPr>
        <w:kinsoku/>
        <w:wordWrap/>
        <w:overflowPunct/>
        <w:topLinePunct w:val="0"/>
        <w:autoSpaceDE/>
        <w:autoSpaceDN/>
        <w:bidi w:val="0"/>
        <w:adjustRightInd/>
        <w:snapToGrid/>
        <w:spacing w:before="0" w:after="0" w:line="360" w:lineRule="auto"/>
        <w:ind w:firstLine="600" w:firstLineChars="200"/>
        <w:jc w:val="left"/>
        <w:rPr>
          <w:rFonts w:hint="default"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附件2：灯杆合同模板。</w:t>
      </w:r>
    </w:p>
    <w:p w14:paraId="044250DE">
      <w:pPr>
        <w:pStyle w:val="5"/>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pPr>
    </w:p>
    <w:p w14:paraId="48C8D9DD">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0"/>
          <w:szCs w:val="30"/>
          <w:highlight w:val="none"/>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遂宁市鹏安投资有限公司</w:t>
      </w:r>
    </w:p>
    <w:p w14:paraId="6E296AD2">
      <w:pPr>
        <w:keepNext w:val="0"/>
        <w:keepLines w:val="0"/>
        <w:pageBreakBefore w:val="0"/>
        <w:numPr>
          <w:ilvl w:val="0"/>
          <w:numId w:val="0"/>
        </w:numPr>
        <w:kinsoku/>
        <w:wordWrap/>
        <w:overflowPunct/>
        <w:topLinePunct w:val="0"/>
        <w:autoSpaceDE/>
        <w:autoSpaceDN/>
        <w:bidi w:val="0"/>
        <w:adjustRightInd/>
        <w:snapToGrid/>
        <w:spacing w:line="540" w:lineRule="exact"/>
        <w:ind w:firstLine="600" w:firstLineChars="200"/>
        <w:jc w:val="righ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2025年11月28日</w:t>
      </w:r>
    </w:p>
    <w:p w14:paraId="4244629C">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附件1：遂宁市安居区梧桐路片区城市污水管网整治及附属设施提升项目／遂宁市安居区城南旧城片区城市排水防涝整治建设项目</w:t>
      </w:r>
    </w:p>
    <w:p w14:paraId="2ECD21F0">
      <w:pPr>
        <w:keepNext w:val="0"/>
        <w:keepLines w:val="0"/>
        <w:pageBreakBefore w:val="0"/>
        <w:numPr>
          <w:ilvl w:val="0"/>
          <w:numId w:val="0"/>
        </w:numPr>
        <w:kinsoku/>
        <w:wordWrap/>
        <w:overflowPunct/>
        <w:topLinePunct w:val="0"/>
        <w:autoSpaceDE/>
        <w:autoSpaceDN/>
        <w:bidi w:val="0"/>
        <w:adjustRightInd/>
        <w:snapToGrid/>
        <w:spacing w:line="540" w:lineRule="exact"/>
        <w:ind w:firstLine="602" w:firstLineChars="200"/>
        <w:jc w:val="center"/>
        <w:textAlignment w:val="auto"/>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shd w:val="clear" w:color="auto" w:fill="auto"/>
          <w:lang w:val="en-US" w:eastAsia="zh-CN"/>
          <w14:textFill>
            <w14:solidFill>
              <w14:schemeClr w14:val="tx1"/>
            </w14:solidFill>
          </w14:textFill>
        </w:rPr>
        <w:t>灯杆材料采购报价表</w:t>
      </w:r>
    </w:p>
    <w:p w14:paraId="11BFC56E">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w:t>
      </w:r>
    </w:p>
    <w:tbl>
      <w:tblPr>
        <w:tblStyle w:val="9"/>
        <w:tblW w:w="5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909"/>
        <w:gridCol w:w="2028"/>
        <w:gridCol w:w="675"/>
        <w:gridCol w:w="780"/>
        <w:gridCol w:w="1320"/>
        <w:gridCol w:w="1410"/>
        <w:gridCol w:w="1290"/>
        <w:gridCol w:w="1485"/>
      </w:tblGrid>
      <w:tr w14:paraId="4D18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214" w:type="pct"/>
            <w:tcBorders>
              <w:top w:val="single" w:color="000000" w:sz="4" w:space="0"/>
              <w:left w:val="single" w:color="000000" w:sz="4" w:space="0"/>
              <w:bottom w:val="nil"/>
              <w:right w:val="single" w:color="000000" w:sz="4" w:space="0"/>
            </w:tcBorders>
            <w:shd w:val="clear" w:color="auto" w:fill="auto"/>
            <w:vAlign w:val="center"/>
          </w:tcPr>
          <w:p w14:paraId="7024B5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8" w:type="pct"/>
            <w:tcBorders>
              <w:top w:val="single" w:color="000000" w:sz="4" w:space="0"/>
              <w:left w:val="single" w:color="000000" w:sz="4" w:space="0"/>
              <w:bottom w:val="nil"/>
              <w:right w:val="single" w:color="000000" w:sz="4" w:space="0"/>
            </w:tcBorders>
            <w:shd w:val="clear" w:color="auto" w:fill="auto"/>
            <w:vAlign w:val="center"/>
          </w:tcPr>
          <w:p w14:paraId="45F11B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890" w:type="pct"/>
            <w:tcBorders>
              <w:top w:val="single" w:color="000000" w:sz="4" w:space="0"/>
              <w:left w:val="single" w:color="000000" w:sz="4" w:space="0"/>
              <w:bottom w:val="nil"/>
              <w:right w:val="single" w:color="000000" w:sz="4" w:space="0"/>
            </w:tcBorders>
            <w:shd w:val="clear" w:color="auto" w:fill="auto"/>
            <w:vAlign w:val="center"/>
          </w:tcPr>
          <w:p w14:paraId="36C9AE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296" w:type="pct"/>
            <w:tcBorders>
              <w:top w:val="single" w:color="000000" w:sz="4" w:space="0"/>
              <w:left w:val="single" w:color="000000" w:sz="4" w:space="0"/>
              <w:bottom w:val="nil"/>
              <w:right w:val="single" w:color="000000" w:sz="4" w:space="0"/>
            </w:tcBorders>
            <w:shd w:val="clear" w:color="auto" w:fill="auto"/>
            <w:vAlign w:val="center"/>
          </w:tcPr>
          <w:p w14:paraId="1B77C4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42" w:type="pct"/>
            <w:tcBorders>
              <w:top w:val="single" w:color="000000" w:sz="4" w:space="0"/>
              <w:left w:val="single" w:color="000000" w:sz="4" w:space="0"/>
              <w:bottom w:val="nil"/>
              <w:right w:val="single" w:color="000000" w:sz="4" w:space="0"/>
            </w:tcBorders>
            <w:shd w:val="clear" w:color="auto" w:fill="auto"/>
            <w:vAlign w:val="center"/>
          </w:tcPr>
          <w:p w14:paraId="2799B8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579" w:type="pct"/>
            <w:tcBorders>
              <w:top w:val="single" w:color="000000" w:sz="4" w:space="0"/>
              <w:left w:val="single" w:color="000000" w:sz="4" w:space="0"/>
              <w:bottom w:val="nil"/>
              <w:right w:val="single" w:color="000000" w:sz="4" w:space="0"/>
            </w:tcBorders>
            <w:shd w:val="clear" w:color="auto" w:fill="auto"/>
            <w:vAlign w:val="center"/>
          </w:tcPr>
          <w:p w14:paraId="57C66A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控制单价不含税（元）</w:t>
            </w:r>
          </w:p>
        </w:tc>
        <w:tc>
          <w:tcPr>
            <w:tcW w:w="619" w:type="pct"/>
            <w:tcBorders>
              <w:top w:val="single" w:color="000000" w:sz="4" w:space="0"/>
              <w:left w:val="single" w:color="000000" w:sz="4" w:space="0"/>
              <w:bottom w:val="nil"/>
              <w:right w:val="single" w:color="000000" w:sz="4" w:space="0"/>
            </w:tcBorders>
            <w:shd w:val="clear" w:color="auto" w:fill="auto"/>
            <w:vAlign w:val="center"/>
          </w:tcPr>
          <w:p w14:paraId="411FBF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控制总价不含税（元）</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6B4CE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分包单价不含税（元）</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7BF427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分包总价不含税（元）</w:t>
            </w:r>
          </w:p>
        </w:tc>
      </w:tr>
      <w:tr w14:paraId="088C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4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36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安居凤羽智慧景观路灯1号类杆灯杆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06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C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B4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3A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13640.12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63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136401.20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F250">
            <w:pPr>
              <w:jc w:val="both"/>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868B">
            <w:pPr>
              <w:jc w:val="both"/>
              <w:rPr>
                <w:rFonts w:hint="eastAsia" w:ascii="宋体" w:hAnsi="宋体" w:eastAsia="宋体" w:cs="宋体"/>
                <w:i w:val="0"/>
                <w:iCs w:val="0"/>
                <w:color w:val="000000"/>
                <w:sz w:val="21"/>
                <w:szCs w:val="21"/>
                <w:u w:val="none"/>
              </w:rPr>
            </w:pPr>
          </w:p>
        </w:tc>
      </w:tr>
      <w:tr w14:paraId="3C89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D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1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安居凤羽智慧景观路灯4号类杆灯杆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F1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E7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F5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EE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21746.31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AA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21746.13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7A25">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C1F0">
            <w:pPr>
              <w:jc w:val="right"/>
              <w:rPr>
                <w:rFonts w:hint="eastAsia" w:ascii="宋体" w:hAnsi="宋体" w:eastAsia="宋体" w:cs="宋体"/>
                <w:i w:val="0"/>
                <w:iCs w:val="0"/>
                <w:color w:val="000000"/>
                <w:sz w:val="21"/>
                <w:szCs w:val="21"/>
                <w:u w:val="none"/>
              </w:rPr>
            </w:pPr>
          </w:p>
        </w:tc>
      </w:tr>
      <w:tr w14:paraId="6CE3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6A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2C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安居凤羽智慧景观路灯5号类杆灯杆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1D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DD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C7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F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23920.35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4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23920.35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AD72">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5D42">
            <w:pPr>
              <w:jc w:val="right"/>
              <w:rPr>
                <w:rFonts w:hint="eastAsia" w:ascii="宋体" w:hAnsi="宋体" w:eastAsia="宋体" w:cs="宋体"/>
                <w:i w:val="0"/>
                <w:iCs w:val="0"/>
                <w:color w:val="000000"/>
                <w:sz w:val="21"/>
                <w:szCs w:val="21"/>
                <w:u w:val="none"/>
              </w:rPr>
            </w:pPr>
          </w:p>
        </w:tc>
      </w:tr>
      <w:tr w14:paraId="01EE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E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4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安居凤羽中杆灯9号类杆灯杆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26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型号：600W*3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灯杆材质、高度：18m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6F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0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16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17666.67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E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70666.68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3D30">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90D1">
            <w:pPr>
              <w:jc w:val="right"/>
              <w:rPr>
                <w:rFonts w:hint="eastAsia" w:ascii="宋体" w:hAnsi="宋体" w:eastAsia="宋体" w:cs="宋体"/>
                <w:i w:val="0"/>
                <w:iCs w:val="0"/>
                <w:color w:val="000000"/>
                <w:sz w:val="21"/>
                <w:szCs w:val="21"/>
                <w:u w:val="none"/>
              </w:rPr>
            </w:pPr>
          </w:p>
        </w:tc>
      </w:tr>
      <w:tr w14:paraId="78BB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DE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6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安居凤羽智慧景观路灯1号类杆灯杆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C9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型号：1*350W+3*60W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8A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5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B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13867.26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D0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208008.90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D5E7">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7387">
            <w:pPr>
              <w:jc w:val="right"/>
              <w:rPr>
                <w:rFonts w:hint="eastAsia" w:ascii="宋体" w:hAnsi="宋体" w:eastAsia="宋体" w:cs="宋体"/>
                <w:i w:val="0"/>
                <w:iCs w:val="0"/>
                <w:color w:val="000000"/>
                <w:sz w:val="21"/>
                <w:szCs w:val="21"/>
                <w:u w:val="none"/>
              </w:rPr>
            </w:pPr>
          </w:p>
        </w:tc>
      </w:tr>
      <w:tr w14:paraId="0363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FB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FA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安居凤羽智慧景观路灯2号类杆灯杆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17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型号：1*350W+3*60W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0B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C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9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20820.06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8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41640.12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000B">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5A9E">
            <w:pPr>
              <w:jc w:val="right"/>
              <w:rPr>
                <w:rFonts w:hint="eastAsia" w:ascii="宋体" w:hAnsi="宋体" w:eastAsia="宋体" w:cs="宋体"/>
                <w:i w:val="0"/>
                <w:iCs w:val="0"/>
                <w:color w:val="000000"/>
                <w:sz w:val="21"/>
                <w:szCs w:val="21"/>
                <w:u w:val="none"/>
              </w:rPr>
            </w:pPr>
          </w:p>
        </w:tc>
      </w:tr>
      <w:tr w14:paraId="5BBAB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C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7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安居凤羽智慧景观路灯5号类杆灯杆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9F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型号：1*350W+3*60W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6B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3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7C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24015.63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D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24015.63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7781">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2264">
            <w:pPr>
              <w:jc w:val="right"/>
              <w:rPr>
                <w:rFonts w:hint="eastAsia" w:ascii="宋体" w:hAnsi="宋体" w:eastAsia="宋体" w:cs="宋体"/>
                <w:i w:val="0"/>
                <w:iCs w:val="0"/>
                <w:color w:val="000000"/>
                <w:sz w:val="21"/>
                <w:szCs w:val="21"/>
                <w:u w:val="none"/>
              </w:rPr>
            </w:pPr>
          </w:p>
        </w:tc>
      </w:tr>
      <w:tr w14:paraId="3E01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6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安居凤羽智慧景观路灯6号类杆灯杆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E7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型号：1*350W+3*60W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B5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A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0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25011.80 </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C3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25011.80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40EF">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A66C">
            <w:pPr>
              <w:jc w:val="right"/>
              <w:rPr>
                <w:rFonts w:hint="eastAsia" w:ascii="宋体" w:hAnsi="宋体" w:eastAsia="宋体" w:cs="宋体"/>
                <w:i w:val="0"/>
                <w:iCs w:val="0"/>
                <w:color w:val="000000"/>
                <w:sz w:val="21"/>
                <w:szCs w:val="21"/>
                <w:u w:val="none"/>
              </w:rPr>
            </w:pPr>
          </w:p>
        </w:tc>
      </w:tr>
      <w:tr w14:paraId="01BA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B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CC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安居凤羽中杆灯7号类杆灯杆 </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16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型号：600W*3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灯杆材质、高度：18m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1B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B2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1E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12687.32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C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25374.64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8F60">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3986">
            <w:pPr>
              <w:jc w:val="right"/>
              <w:rPr>
                <w:rFonts w:hint="eastAsia" w:ascii="宋体" w:hAnsi="宋体" w:eastAsia="宋体" w:cs="宋体"/>
                <w:i w:val="0"/>
                <w:iCs w:val="0"/>
                <w:color w:val="000000"/>
                <w:sz w:val="21"/>
                <w:szCs w:val="21"/>
                <w:u w:val="none"/>
              </w:rPr>
            </w:pPr>
          </w:p>
        </w:tc>
      </w:tr>
      <w:tr w14:paraId="3F91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B4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0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安居凤羽智慧景观路灯1号类杆灯杆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6F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型号：1*180W+3*60W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31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4B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C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13592.92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82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231079.64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B431">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2CD1">
            <w:pPr>
              <w:jc w:val="right"/>
              <w:rPr>
                <w:rFonts w:hint="eastAsia" w:ascii="宋体" w:hAnsi="宋体" w:eastAsia="宋体" w:cs="宋体"/>
                <w:i w:val="0"/>
                <w:iCs w:val="0"/>
                <w:color w:val="000000"/>
                <w:sz w:val="21"/>
                <w:szCs w:val="21"/>
                <w:u w:val="none"/>
              </w:rPr>
            </w:pPr>
          </w:p>
        </w:tc>
      </w:tr>
      <w:tr w14:paraId="6666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0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83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安居凤羽智慧景观路灯3号类杆灯杆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F0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型号：1*180W+3*60W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1E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5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1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19292.04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4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19292.04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EE18">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985F">
            <w:pPr>
              <w:jc w:val="right"/>
              <w:rPr>
                <w:rFonts w:hint="eastAsia" w:ascii="宋体" w:hAnsi="宋体" w:eastAsia="宋体" w:cs="宋体"/>
                <w:i w:val="0"/>
                <w:iCs w:val="0"/>
                <w:color w:val="000000"/>
                <w:sz w:val="21"/>
                <w:szCs w:val="21"/>
                <w:u w:val="none"/>
              </w:rPr>
            </w:pPr>
          </w:p>
        </w:tc>
      </w:tr>
      <w:tr w14:paraId="4523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6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44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安居凤羽智慧景观路灯1号类杆灯杆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23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10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E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F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13640.12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1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1200330.56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0161">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CC6C">
            <w:pPr>
              <w:jc w:val="right"/>
              <w:rPr>
                <w:rFonts w:hint="eastAsia" w:ascii="宋体" w:hAnsi="宋体" w:eastAsia="宋体" w:cs="宋体"/>
                <w:i w:val="0"/>
                <w:iCs w:val="0"/>
                <w:color w:val="000000"/>
                <w:sz w:val="21"/>
                <w:szCs w:val="21"/>
                <w:u w:val="none"/>
              </w:rPr>
            </w:pPr>
          </w:p>
        </w:tc>
      </w:tr>
      <w:tr w14:paraId="056C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F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4B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安居凤羽智慧景观路灯2号类杆灯杆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B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A31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0D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BD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21026.55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9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273345.15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CA37">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7628">
            <w:pPr>
              <w:jc w:val="right"/>
              <w:rPr>
                <w:rFonts w:hint="eastAsia" w:ascii="宋体" w:hAnsi="宋体" w:eastAsia="宋体" w:cs="宋体"/>
                <w:i w:val="0"/>
                <w:iCs w:val="0"/>
                <w:color w:val="000000"/>
                <w:sz w:val="21"/>
                <w:szCs w:val="21"/>
                <w:u w:val="none"/>
              </w:rPr>
            </w:pPr>
          </w:p>
        </w:tc>
      </w:tr>
      <w:tr w14:paraId="5293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2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1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安居凤羽智慧景观路灯3号类杆灯杆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79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986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C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4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19306.78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2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57920.34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7499">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8F96">
            <w:pPr>
              <w:jc w:val="right"/>
              <w:rPr>
                <w:rFonts w:hint="eastAsia" w:ascii="宋体" w:hAnsi="宋体" w:eastAsia="宋体" w:cs="宋体"/>
                <w:i w:val="0"/>
                <w:iCs w:val="0"/>
                <w:color w:val="000000"/>
                <w:sz w:val="21"/>
                <w:szCs w:val="21"/>
                <w:u w:val="none"/>
              </w:rPr>
            </w:pPr>
          </w:p>
        </w:tc>
      </w:tr>
      <w:tr w14:paraId="6D7C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C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DC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安居凤羽智慧景观路灯4号类杆灯杆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83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62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8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3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21769.91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A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195929.19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3032">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D06">
            <w:pPr>
              <w:jc w:val="right"/>
              <w:rPr>
                <w:rFonts w:hint="eastAsia" w:ascii="宋体" w:hAnsi="宋体" w:eastAsia="宋体" w:cs="宋体"/>
                <w:i w:val="0"/>
                <w:iCs w:val="0"/>
                <w:color w:val="000000"/>
                <w:sz w:val="21"/>
                <w:szCs w:val="21"/>
                <w:u w:val="none"/>
              </w:rPr>
            </w:pPr>
          </w:p>
        </w:tc>
      </w:tr>
      <w:tr w14:paraId="22E4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05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D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安居凤羽智慧景观路灯5号类杆灯杆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01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C8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DE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0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23926.25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1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311041.25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12BA">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9101">
            <w:pPr>
              <w:jc w:val="right"/>
              <w:rPr>
                <w:rFonts w:hint="eastAsia" w:ascii="宋体" w:hAnsi="宋体" w:eastAsia="宋体" w:cs="宋体"/>
                <w:i w:val="0"/>
                <w:iCs w:val="0"/>
                <w:color w:val="000000"/>
                <w:sz w:val="21"/>
                <w:szCs w:val="21"/>
                <w:u w:val="none"/>
              </w:rPr>
            </w:pPr>
          </w:p>
        </w:tc>
      </w:tr>
      <w:tr w14:paraId="4A16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C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7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安居凤羽智慧景观路灯6号类杆灯杆</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42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型号：1*320W+3*60W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灯杆材质、高度：15m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6A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3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E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24914.45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0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24914.45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57F8">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939F">
            <w:pPr>
              <w:jc w:val="right"/>
              <w:rPr>
                <w:rFonts w:hint="eastAsia" w:ascii="宋体" w:hAnsi="宋体" w:eastAsia="宋体" w:cs="宋体"/>
                <w:i w:val="0"/>
                <w:iCs w:val="0"/>
                <w:color w:val="000000"/>
                <w:sz w:val="21"/>
                <w:szCs w:val="21"/>
                <w:u w:val="none"/>
              </w:rPr>
            </w:pPr>
          </w:p>
        </w:tc>
      </w:tr>
      <w:tr w14:paraId="1EFE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0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F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安居凤羽中杆灯7号类杆灯杆 </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5F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型号：600W*3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灯杆材质、高度：18m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EB5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9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4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12687.32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B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63436.60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8AF7">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11D3">
            <w:pPr>
              <w:jc w:val="right"/>
              <w:rPr>
                <w:rFonts w:hint="eastAsia" w:ascii="宋体" w:hAnsi="宋体" w:eastAsia="宋体" w:cs="宋体"/>
                <w:i w:val="0"/>
                <w:iCs w:val="0"/>
                <w:color w:val="000000"/>
                <w:sz w:val="21"/>
                <w:szCs w:val="21"/>
                <w:u w:val="none"/>
              </w:rPr>
            </w:pPr>
          </w:p>
        </w:tc>
      </w:tr>
      <w:tr w14:paraId="2DA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9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4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安居凤羽中杆灯8号类杆灯杆 </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A8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型号：600W*3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灯杆材质、高度：18m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B8C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E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8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20752.21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20752.21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510E">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6079">
            <w:pPr>
              <w:jc w:val="right"/>
              <w:rPr>
                <w:rFonts w:hint="eastAsia" w:ascii="宋体" w:hAnsi="宋体" w:eastAsia="宋体" w:cs="宋体"/>
                <w:i w:val="0"/>
                <w:iCs w:val="0"/>
                <w:color w:val="000000"/>
                <w:sz w:val="21"/>
                <w:szCs w:val="21"/>
                <w:u w:val="none"/>
              </w:rPr>
            </w:pPr>
          </w:p>
        </w:tc>
      </w:tr>
      <w:tr w14:paraId="76D1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FF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0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安居凤羽中杆灯9号类杆灯杆 </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B1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型号：600W*3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灯杆材质、高度：18m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50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3E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1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17669.62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70678.48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E540">
            <w:pPr>
              <w:jc w:val="right"/>
              <w:rPr>
                <w:rFonts w:hint="eastAsia" w:ascii="宋体" w:hAnsi="宋体" w:eastAsia="宋体" w:cs="宋体"/>
                <w:i w:val="0"/>
                <w:iCs w:val="0"/>
                <w:color w:val="000000"/>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9877">
            <w:pPr>
              <w:jc w:val="right"/>
              <w:rPr>
                <w:rFonts w:hint="eastAsia" w:ascii="宋体" w:hAnsi="宋体" w:eastAsia="宋体" w:cs="宋体"/>
                <w:i w:val="0"/>
                <w:iCs w:val="0"/>
                <w:color w:val="000000"/>
                <w:sz w:val="21"/>
                <w:szCs w:val="21"/>
                <w:u w:val="none"/>
              </w:rPr>
            </w:pPr>
          </w:p>
        </w:tc>
      </w:tr>
      <w:tr w14:paraId="214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132AA">
            <w:pPr>
              <w:jc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65D7">
            <w:pPr>
              <w:jc w:val="center"/>
              <w:rPr>
                <w:rFonts w:hint="eastAsia" w:ascii="宋体" w:hAnsi="宋体" w:eastAsia="宋体" w:cs="宋体"/>
                <w:i w:val="0"/>
                <w:iCs w:val="0"/>
                <w:color w:val="000000"/>
                <w:kern w:val="0"/>
                <w:sz w:val="21"/>
                <w:szCs w:val="21"/>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ACEB">
            <w:pPr>
              <w:jc w:val="left"/>
              <w:rPr>
                <w:rFonts w:hint="eastAsia" w:ascii="宋体" w:hAnsi="宋体" w:eastAsia="宋体" w:cs="宋体"/>
                <w:sz w:val="21"/>
                <w:szCs w:val="21"/>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AA70">
            <w:pPr>
              <w:jc w:val="center"/>
              <w:rPr>
                <w:rFonts w:hint="eastAsia" w:ascii="宋体" w:hAnsi="宋体" w:eastAsia="宋体" w:cs="宋体"/>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8AE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sz w:val="21"/>
                <w:szCs w:val="21"/>
                <w:u w:val="none"/>
              </w:rPr>
              <w:fldChar w:fldCharType="begin"/>
            </w:r>
            <w:r>
              <w:rPr>
                <w:rFonts w:hint="eastAsia" w:ascii="宋体" w:hAnsi="宋体" w:eastAsia="宋体" w:cs="宋体"/>
                <w:b/>
                <w:bCs/>
                <w:i w:val="0"/>
                <w:iCs w:val="0"/>
                <w:color w:val="000000"/>
                <w:sz w:val="21"/>
                <w:szCs w:val="21"/>
                <w:u w:val="none"/>
              </w:rPr>
              <w:instrText xml:space="preserve"> = sum(G2:G21) \* MERGEFORMAT </w:instrText>
            </w:r>
            <w:r>
              <w:rPr>
                <w:rFonts w:hint="eastAsia" w:ascii="宋体" w:hAnsi="宋体" w:eastAsia="宋体" w:cs="宋体"/>
                <w:b/>
                <w:bCs/>
                <w:i w:val="0"/>
                <w:iCs w:val="0"/>
                <w:color w:val="000000"/>
                <w:sz w:val="21"/>
                <w:szCs w:val="21"/>
                <w:u w:val="none"/>
              </w:rPr>
              <w:fldChar w:fldCharType="separate"/>
            </w:r>
            <w:r>
              <w:rPr>
                <w:rFonts w:hint="eastAsia" w:ascii="宋体" w:hAnsi="宋体" w:eastAsia="宋体" w:cs="宋体"/>
                <w:b/>
                <w:bCs/>
                <w:i w:val="0"/>
                <w:iCs w:val="0"/>
                <w:color w:val="000000"/>
                <w:sz w:val="21"/>
                <w:szCs w:val="21"/>
                <w:u w:val="none"/>
              </w:rPr>
              <w:t>3045505.36</w:t>
            </w:r>
            <w:r>
              <w:rPr>
                <w:rFonts w:hint="eastAsia" w:ascii="宋体" w:hAnsi="宋体" w:eastAsia="宋体" w:cs="宋体"/>
                <w:b/>
                <w:bCs/>
                <w:i w:val="0"/>
                <w:iCs w:val="0"/>
                <w:color w:val="000000"/>
                <w:sz w:val="21"/>
                <w:szCs w:val="21"/>
                <w:u w:val="none"/>
              </w:rPr>
              <w:fldChar w:fldCharType="end"/>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78E6">
            <w:pPr>
              <w:jc w:val="both"/>
              <w:rPr>
                <w:rFonts w:hint="eastAsia" w:ascii="宋体" w:hAnsi="宋体" w:eastAsia="宋体" w:cs="宋体"/>
                <w:b/>
                <w:bCs/>
                <w:i w:val="0"/>
                <w:iCs w:val="0"/>
                <w:color w:val="000000"/>
                <w:sz w:val="21"/>
                <w:szCs w:val="21"/>
                <w:u w:val="none"/>
                <w:lang w:val="en-US"/>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593A">
            <w:pPr>
              <w:jc w:val="both"/>
              <w:rPr>
                <w:rFonts w:hint="eastAsia" w:ascii="宋体" w:hAnsi="宋体" w:eastAsia="宋体" w:cs="宋体"/>
                <w:b/>
                <w:bCs/>
                <w:i w:val="0"/>
                <w:iCs w:val="0"/>
                <w:color w:val="000000"/>
                <w:sz w:val="21"/>
                <w:szCs w:val="21"/>
                <w:u w:val="none"/>
              </w:rPr>
            </w:pPr>
          </w:p>
        </w:tc>
      </w:tr>
      <w:tr w14:paraId="1735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E8893">
            <w:pPr>
              <w:jc w:val="both"/>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sz w:val="21"/>
                <w:szCs w:val="21"/>
                <w:u w:val="none"/>
              </w:rPr>
              <w:t>说明：此综合单价包含路灯灯具，不含基础预埋件、不含下杆线及主线缆，</w:t>
            </w:r>
            <w:bookmarkStart w:id="0" w:name="_GoBack"/>
            <w:r>
              <w:rPr>
                <w:rFonts w:hint="eastAsia" w:ascii="宋体" w:hAnsi="宋体" w:eastAsia="宋体" w:cs="宋体"/>
                <w:b/>
                <w:bCs/>
                <w:i w:val="0"/>
                <w:iCs w:val="0"/>
                <w:color w:val="000000"/>
                <w:sz w:val="21"/>
                <w:szCs w:val="21"/>
                <w:u w:val="none"/>
              </w:rPr>
              <w:t>含</w:t>
            </w:r>
            <w:r>
              <w:rPr>
                <w:rFonts w:hint="eastAsia" w:ascii="宋体" w:hAnsi="宋体" w:cs="宋体"/>
                <w:b/>
                <w:bCs/>
                <w:i w:val="0"/>
                <w:iCs w:val="0"/>
                <w:color w:val="000000"/>
                <w:sz w:val="21"/>
                <w:szCs w:val="21"/>
                <w:u w:val="single"/>
                <w:lang w:val="en-US" w:eastAsia="zh-CN"/>
              </w:rPr>
              <w:t xml:space="preserve">   </w:t>
            </w:r>
            <w:r>
              <w:rPr>
                <w:rFonts w:hint="eastAsia" w:ascii="宋体" w:hAnsi="宋体" w:eastAsia="宋体" w:cs="宋体"/>
                <w:b/>
                <w:bCs/>
                <w:i w:val="0"/>
                <w:iCs w:val="0"/>
                <w:color w:val="000000"/>
                <w:sz w:val="21"/>
                <w:szCs w:val="21"/>
                <w:u w:val="none"/>
              </w:rPr>
              <w:t>%增值税</w:t>
            </w:r>
            <w:bookmarkEnd w:id="0"/>
            <w:r>
              <w:rPr>
                <w:rFonts w:hint="eastAsia" w:ascii="宋体" w:hAnsi="宋体" w:eastAsia="宋体" w:cs="宋体"/>
                <w:b w:val="0"/>
                <w:bCs w:val="0"/>
                <w:i w:val="0"/>
                <w:iCs w:val="0"/>
                <w:color w:val="000000"/>
                <w:sz w:val="21"/>
                <w:szCs w:val="21"/>
                <w:u w:val="none"/>
              </w:rPr>
              <w:t>、运费、路面以上安装、不接线，基础预埋现场指导。产品质量标准符合设计图纸要求、现行国家规范、采购人要求。提供产品配送清单、出厂检测报告、合格证书及相关质量资料。</w:t>
            </w:r>
          </w:p>
        </w:tc>
      </w:tr>
    </w:tbl>
    <w:p w14:paraId="06D7BEF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联系人及电话：</w:t>
      </w:r>
    </w:p>
    <w:p w14:paraId="7A4B6B30">
      <w:pP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sectPr>
          <w:pgSz w:w="11906" w:h="16838"/>
          <w:pgMar w:top="1134" w:right="1080" w:bottom="1134" w:left="1080" w:header="851" w:footer="992" w:gutter="0"/>
          <w:cols w:space="425" w:num="1"/>
          <w:docGrid w:type="lines" w:linePitch="312" w:charSpace="0"/>
        </w:sect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 xml:space="preserve">                                            报价单位：（盖章）</w:t>
      </w:r>
    </w:p>
    <w:p w14:paraId="1C46F77D">
      <w:pPr>
        <w:pStyle w:val="13"/>
        <w:numPr>
          <w:ilvl w:val="4"/>
          <w:numId w:val="0"/>
        </w:numP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附件2：合同模板</w:t>
      </w:r>
    </w:p>
    <w:p w14:paraId="6AA038E7">
      <w:pPr>
        <w:pageBreakBefore w:val="0"/>
        <w:kinsoku/>
        <w:wordWrap/>
        <w:overflowPunct/>
        <w:topLinePunct w:val="0"/>
        <w:autoSpaceDE/>
        <w:autoSpaceDN/>
        <w:bidi w:val="0"/>
        <w:adjustRightInd/>
        <w:snapToGrid/>
        <w:spacing w:line="360" w:lineRule="auto"/>
        <w:ind w:firstLine="560" w:firstLineChars="200"/>
        <w:jc w:val="center"/>
        <w:rPr>
          <w:rFonts w:hint="eastAsia" w:ascii="宋体" w:hAnsi="宋体" w:cs="宋体"/>
          <w:color w:val="auto"/>
          <w:sz w:val="44"/>
          <w:szCs w:val="44"/>
          <w:highlight w:val="none"/>
        </w:rPr>
      </w:pPr>
      <w:r>
        <w:rPr>
          <w:rFonts w:hint="eastAsia" w:ascii="宋体" w:hAnsi="宋体" w:cs="宋体"/>
          <w:color w:val="auto"/>
          <w:sz w:val="28"/>
          <w:szCs w:val="28"/>
          <w:highlight w:val="none"/>
        </w:rPr>
        <w:t xml:space="preserve">                                         合同编号：</w:t>
      </w:r>
    </w:p>
    <w:p w14:paraId="5206EE1F">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44"/>
          <w:szCs w:val="44"/>
          <w:highlight w:val="none"/>
        </w:rPr>
      </w:pPr>
    </w:p>
    <w:p w14:paraId="4D33A6A8">
      <w:pPr>
        <w:pageBreakBefore w:val="0"/>
        <w:kinsoku/>
        <w:wordWrap/>
        <w:overflowPunct/>
        <w:topLinePunct w:val="0"/>
        <w:autoSpaceDE/>
        <w:autoSpaceDN/>
        <w:bidi w:val="0"/>
        <w:adjustRightInd/>
        <w:snapToGrid/>
        <w:spacing w:line="360" w:lineRule="auto"/>
        <w:ind w:firstLine="880" w:firstLineChars="200"/>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 xml:space="preserve"> </w:t>
      </w:r>
    </w:p>
    <w:p w14:paraId="0F670C3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采</w:t>
      </w:r>
    </w:p>
    <w:p w14:paraId="2268031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购</w:t>
      </w:r>
    </w:p>
    <w:p w14:paraId="0E95E24C">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 xml:space="preserve">合 </w:t>
      </w:r>
    </w:p>
    <w:p w14:paraId="483BE085">
      <w:pPr>
        <w:pageBreakBefore w:val="0"/>
        <w:kinsoku/>
        <w:wordWrap/>
        <w:overflowPunct/>
        <w:topLinePunct w:val="0"/>
        <w:autoSpaceDE/>
        <w:autoSpaceDN/>
        <w:bidi w:val="0"/>
        <w:adjustRightInd/>
        <w:snapToGrid/>
        <w:spacing w:line="240" w:lineRule="auto"/>
        <w:ind w:firstLine="0" w:firstLineChars="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同</w:t>
      </w:r>
    </w:p>
    <w:p w14:paraId="6B61B11F">
      <w:pPr>
        <w:pageBreakBefore w:val="0"/>
        <w:kinsoku/>
        <w:wordWrap/>
        <w:overflowPunct/>
        <w:topLinePunct w:val="0"/>
        <w:autoSpaceDE/>
        <w:autoSpaceDN/>
        <w:bidi w:val="0"/>
        <w:adjustRightInd/>
        <w:snapToGrid/>
        <w:spacing w:line="360" w:lineRule="auto"/>
        <w:ind w:firstLine="560" w:firstLineChars="200"/>
        <w:rPr>
          <w:rFonts w:hint="eastAsia" w:ascii="宋体" w:hAnsi="宋体" w:cs="宋体"/>
          <w:color w:val="auto"/>
          <w:sz w:val="28"/>
          <w:szCs w:val="28"/>
          <w:highlight w:val="none"/>
        </w:rPr>
      </w:pPr>
    </w:p>
    <w:p w14:paraId="3FAB8267">
      <w:pPr>
        <w:pageBreakBefore w:val="0"/>
        <w:kinsoku/>
        <w:wordWrap/>
        <w:overflowPunct/>
        <w:topLinePunct w:val="0"/>
        <w:autoSpaceDE/>
        <w:autoSpaceDN/>
        <w:bidi w:val="0"/>
        <w:adjustRightInd/>
        <w:snapToGrid/>
        <w:spacing w:line="360" w:lineRule="auto"/>
        <w:rPr>
          <w:rFonts w:hint="eastAsia" w:ascii="宋体" w:hAnsi="宋体" w:cs="宋体"/>
          <w:color w:val="auto"/>
          <w:sz w:val="28"/>
          <w:szCs w:val="28"/>
          <w:highlight w:val="none"/>
        </w:rPr>
      </w:pPr>
    </w:p>
    <w:p w14:paraId="0E3871E8">
      <w:pPr>
        <w:pageBreakBefore w:val="0"/>
        <w:kinsoku/>
        <w:wordWrap/>
        <w:overflowPunct/>
        <w:topLinePunct w:val="0"/>
        <w:autoSpaceDE/>
        <w:autoSpaceDN/>
        <w:bidi w:val="0"/>
        <w:adjustRightInd/>
        <w:snapToGrid/>
        <w:spacing w:line="360" w:lineRule="auto"/>
        <w:ind w:firstLine="562" w:firstLineChars="200"/>
        <w:rPr>
          <w:rFonts w:hint="eastAsia" w:ascii="宋体" w:hAnsi="宋体" w:cs="宋体"/>
          <w:b/>
          <w:bCs/>
          <w:color w:val="auto"/>
          <w:sz w:val="28"/>
          <w:szCs w:val="28"/>
          <w:highlight w:val="none"/>
        </w:rPr>
      </w:pPr>
    </w:p>
    <w:p w14:paraId="266A03C9">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cs="宋体"/>
          <w:b/>
          <w:bCs/>
          <w:color w:val="auto"/>
          <w:sz w:val="24"/>
          <w:szCs w:val="24"/>
          <w:highlight w:val="none"/>
          <w:u w:val="single"/>
          <w:lang w:val="en-US" w:eastAsia="zh-CN"/>
        </w:rPr>
        <w:t>遂宁市鹏安投资有限公司</w:t>
      </w:r>
      <w:r>
        <w:rPr>
          <w:rFonts w:hint="eastAsia" w:ascii="宋体" w:hAnsi="宋体" w:eastAsia="宋体" w:cs="宋体"/>
          <w:b/>
          <w:bCs/>
          <w:color w:val="auto"/>
          <w:sz w:val="24"/>
          <w:szCs w:val="24"/>
          <w:highlight w:val="none"/>
          <w:u w:val="single"/>
        </w:rPr>
        <w:t xml:space="preserve"> （采购方） </w:t>
      </w:r>
    </w:p>
    <w:p w14:paraId="6B5A7C3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    方：</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（供货方） </w:t>
      </w:r>
    </w:p>
    <w:p w14:paraId="4C1D90D0">
      <w:pPr>
        <w:pageBreakBefore w:val="0"/>
        <w:widowControl/>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yellow"/>
        </w:rPr>
      </w:pPr>
    </w:p>
    <w:p w14:paraId="24F6A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遂宁市安居区梧桐路片区城市污水管网整治及附属设施提升项目／遂宁市安居区城南旧城片区城市排水防涝整治建设项目</w:t>
      </w:r>
    </w:p>
    <w:p w14:paraId="6473A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6C40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p>
    <w:p w14:paraId="42F5F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16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sectPr>
          <w:pgSz w:w="11906" w:h="16838"/>
          <w:pgMar w:top="1134" w:right="1080" w:bottom="1134" w:left="1080" w:header="851" w:footer="992" w:gutter="0"/>
          <w:cols w:space="425" w:num="1"/>
          <w:docGrid w:type="lines" w:linePitch="312" w:charSpace="0"/>
        </w:sect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遂宁市安居区   </w:t>
      </w:r>
    </w:p>
    <w:p w14:paraId="30D333F1">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none"/>
        </w:rPr>
        <w:t>“</w:t>
      </w:r>
      <w:r>
        <w:rPr>
          <w:rFonts w:hint="eastAsia" w:ascii="宋体" w:hAnsi="宋体" w:cs="宋体"/>
          <w:sz w:val="24"/>
          <w:szCs w:val="24"/>
          <w:u w:val="none"/>
        </w:rPr>
        <w:t>遂宁市安居区梧桐路片区城市污水管网整治及附属设施提升项目／遂宁市安居区城南旧城片区城市排水防涝整治建设项目</w:t>
      </w:r>
      <w:r>
        <w:rPr>
          <w:rFonts w:hint="eastAsia" w:ascii="宋体" w:hAnsi="宋体" w:cs="宋体"/>
          <w:sz w:val="24"/>
          <w:szCs w:val="24"/>
          <w:u w:val="none"/>
          <w:lang w:eastAsia="zh-CN"/>
        </w:rPr>
        <w:t>”</w:t>
      </w:r>
      <w:r>
        <w:rPr>
          <w:rFonts w:hint="eastAsia" w:ascii="宋体" w:hAnsi="宋体" w:cs="宋体"/>
          <w:sz w:val="24"/>
          <w:szCs w:val="24"/>
          <w:u w:val="none"/>
        </w:rPr>
        <w:t>材料</w:t>
      </w:r>
      <w:r>
        <w:rPr>
          <w:rFonts w:hint="eastAsia" w:ascii="宋体" w:hAnsi="宋体" w:cs="宋体"/>
          <w:sz w:val="24"/>
          <w:szCs w:val="24"/>
          <w:u w:val="none"/>
          <w:lang w:val="en-US" w:eastAsia="zh-CN"/>
        </w:rPr>
        <w:t>-灯杆</w:t>
      </w:r>
      <w:r>
        <w:rPr>
          <w:rFonts w:hint="eastAsia" w:ascii="宋体" w:hAnsi="宋体" w:cs="宋体"/>
          <w:b w:val="0"/>
          <w:bCs w:val="0"/>
          <w:color w:val="auto"/>
          <w:sz w:val="24"/>
          <w:szCs w:val="24"/>
          <w:highlight w:val="none"/>
          <w:u w:val="none"/>
          <w:lang w:val="en-US" w:eastAsia="zh-CN"/>
        </w:rPr>
        <w:t>采</w:t>
      </w:r>
      <w:r>
        <w:rPr>
          <w:rFonts w:hint="eastAsia" w:ascii="宋体" w:hAnsi="宋体" w:cs="宋体"/>
          <w:b w:val="0"/>
          <w:bCs w:val="0"/>
          <w:color w:val="auto"/>
          <w:sz w:val="24"/>
          <w:szCs w:val="24"/>
          <w:highlight w:val="none"/>
          <w:lang w:val="en-US" w:eastAsia="zh-CN"/>
        </w:rPr>
        <w:t>购合同</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事宜进行磋商，于2025年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日确立合作关系，根据本工程具体情况，按照《中华人民共和国民法典》及相关规定，经双方友好协商，特立此合同，以兹双方共同遵守以下合同条款。</w:t>
      </w:r>
    </w:p>
    <w:p w14:paraId="19E5742F">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产品</w:t>
      </w:r>
      <w:r>
        <w:rPr>
          <w:rFonts w:hint="eastAsia" w:ascii="宋体" w:hAnsi="宋体" w:eastAsia="宋体" w:cs="宋体"/>
          <w:b/>
          <w:color w:val="auto"/>
          <w:sz w:val="24"/>
          <w:szCs w:val="24"/>
          <w:highlight w:val="none"/>
          <w:lang w:val="en-US" w:eastAsia="zh-CN"/>
        </w:rPr>
        <w:t>清单及总价</w:t>
      </w:r>
    </w:p>
    <w:p w14:paraId="575B046B">
      <w:pPr>
        <w:pStyle w:val="13"/>
        <w:pageBreakBefore w:val="0"/>
        <w:numPr>
          <w:ilvl w:val="4"/>
          <w:numId w:val="0"/>
        </w:numPr>
        <w:kinsoku/>
        <w:wordWrap/>
        <w:overflowPunct/>
        <w:topLinePunct w:val="0"/>
        <w:autoSpaceDE/>
        <w:autoSpaceDN/>
        <w:bidi w:val="0"/>
        <w:adjustRightInd/>
        <w:snapToGrid/>
        <w:spacing w:before="0" w:after="0"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1.1产品清单。</w:t>
      </w:r>
    </w:p>
    <w:tbl>
      <w:tblPr>
        <w:tblStyle w:val="9"/>
        <w:tblW w:w="103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911"/>
        <w:gridCol w:w="2505"/>
        <w:gridCol w:w="695"/>
        <w:gridCol w:w="1094"/>
        <w:gridCol w:w="1546"/>
        <w:gridCol w:w="1481"/>
        <w:gridCol w:w="405"/>
      </w:tblGrid>
      <w:tr w14:paraId="23E9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0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bCs w:val="0"/>
                <w:i w:val="0"/>
                <w:iCs w:val="0"/>
                <w:color w:val="000000"/>
                <w:kern w:val="0"/>
                <w:sz w:val="22"/>
                <w:szCs w:val="22"/>
                <w:u w:val="none"/>
                <w:lang w:val="en-US" w:eastAsia="zh-CN" w:bidi="ar"/>
              </w:rPr>
              <w:t>规格型号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2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暂定</w:t>
            </w:r>
            <w:r>
              <w:rPr>
                <w:rFonts w:hint="eastAsia" w:ascii="宋体" w:hAnsi="宋体" w:eastAsia="宋体" w:cs="宋体"/>
                <w:i w:val="0"/>
                <w:iCs w:val="0"/>
                <w:color w:val="000000"/>
                <w:kern w:val="0"/>
                <w:sz w:val="21"/>
                <w:szCs w:val="21"/>
                <w:u w:val="none"/>
                <w:lang w:val="en-US" w:eastAsia="zh-CN" w:bidi="ar"/>
              </w:rPr>
              <w:t>数量</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A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3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D93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A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6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安居凤羽智慧景观路灯1号类杆灯杆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6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D675">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99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8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4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E262">
            <w:pPr>
              <w:jc w:val="both"/>
              <w:rPr>
                <w:rFonts w:hint="eastAsia" w:ascii="宋体" w:hAnsi="宋体" w:eastAsia="宋体" w:cs="宋体"/>
                <w:i w:val="0"/>
                <w:iCs w:val="0"/>
                <w:color w:val="000000"/>
                <w:sz w:val="28"/>
                <w:szCs w:val="28"/>
                <w:u w:val="none"/>
              </w:rPr>
            </w:pPr>
          </w:p>
        </w:tc>
      </w:tr>
      <w:tr w14:paraId="534F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安居凤羽智慧景观路灯4号类杆灯杆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4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F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DA0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5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2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D716">
            <w:pPr>
              <w:jc w:val="right"/>
              <w:rPr>
                <w:rFonts w:hint="eastAsia" w:ascii="宋体" w:hAnsi="宋体" w:eastAsia="宋体" w:cs="宋体"/>
                <w:i w:val="0"/>
                <w:iCs w:val="0"/>
                <w:color w:val="000000"/>
                <w:sz w:val="28"/>
                <w:szCs w:val="28"/>
                <w:u w:val="none"/>
              </w:rPr>
            </w:pPr>
          </w:p>
        </w:tc>
      </w:tr>
      <w:tr w14:paraId="5D04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C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安居凤羽智慧景观路灯5号类杆灯杆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7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E8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6D4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00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A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DE48">
            <w:pPr>
              <w:jc w:val="right"/>
              <w:rPr>
                <w:rFonts w:hint="eastAsia" w:ascii="宋体" w:hAnsi="宋体" w:eastAsia="宋体" w:cs="宋体"/>
                <w:i w:val="0"/>
                <w:iCs w:val="0"/>
                <w:color w:val="000000"/>
                <w:sz w:val="28"/>
                <w:szCs w:val="28"/>
                <w:u w:val="none"/>
              </w:rPr>
            </w:pPr>
          </w:p>
        </w:tc>
      </w:tr>
      <w:tr w14:paraId="7EF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217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254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安居凤羽中杆灯9号类杆灯杆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E7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.型号：600W*3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.灯杆材质、高度：18m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35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1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DA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B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59E9">
            <w:pPr>
              <w:jc w:val="right"/>
              <w:rPr>
                <w:rFonts w:hint="eastAsia" w:ascii="宋体" w:hAnsi="宋体" w:eastAsia="宋体" w:cs="宋体"/>
                <w:i w:val="0"/>
                <w:iCs w:val="0"/>
                <w:color w:val="000000"/>
                <w:sz w:val="28"/>
                <w:szCs w:val="28"/>
                <w:u w:val="none"/>
              </w:rPr>
            </w:pPr>
          </w:p>
        </w:tc>
      </w:tr>
      <w:tr w14:paraId="2E50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9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CB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安居凤羽智慧景观路灯1号类杆灯杆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B1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.型号：1*350W+3*60W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15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5E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A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62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AA8B">
            <w:pPr>
              <w:jc w:val="right"/>
              <w:rPr>
                <w:rFonts w:hint="eastAsia" w:ascii="宋体" w:hAnsi="宋体" w:eastAsia="宋体" w:cs="宋体"/>
                <w:i w:val="0"/>
                <w:iCs w:val="0"/>
                <w:color w:val="000000"/>
                <w:sz w:val="28"/>
                <w:szCs w:val="28"/>
                <w:u w:val="none"/>
              </w:rPr>
            </w:pPr>
          </w:p>
        </w:tc>
      </w:tr>
      <w:tr w14:paraId="3D3E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927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74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安居凤羽智慧景观路灯2号类杆灯杆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1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.型号：1*350W+3*60W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D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F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02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495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9C9">
            <w:pPr>
              <w:jc w:val="right"/>
              <w:rPr>
                <w:rFonts w:hint="eastAsia" w:ascii="宋体" w:hAnsi="宋体" w:eastAsia="宋体" w:cs="宋体"/>
                <w:i w:val="0"/>
                <w:iCs w:val="0"/>
                <w:color w:val="000000"/>
                <w:sz w:val="28"/>
                <w:szCs w:val="28"/>
                <w:u w:val="none"/>
              </w:rPr>
            </w:pPr>
          </w:p>
        </w:tc>
      </w:tr>
      <w:tr w14:paraId="5854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AF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93C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安居凤羽智慧景观路灯5号类杆灯杆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E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.型号：1*350W+3*60W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86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12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2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10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E7FC">
            <w:pPr>
              <w:jc w:val="right"/>
              <w:rPr>
                <w:rFonts w:hint="eastAsia" w:ascii="宋体" w:hAnsi="宋体" w:eastAsia="宋体" w:cs="宋体"/>
                <w:i w:val="0"/>
                <w:iCs w:val="0"/>
                <w:color w:val="000000"/>
                <w:sz w:val="28"/>
                <w:szCs w:val="28"/>
                <w:u w:val="none"/>
              </w:rPr>
            </w:pPr>
          </w:p>
        </w:tc>
      </w:tr>
      <w:tr w14:paraId="5B5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FA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1EB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安居凤羽智慧景观路灯6号类杆灯杆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31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.型号：1*350W+3*60W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FC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75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8DB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DD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6150">
            <w:pPr>
              <w:jc w:val="right"/>
              <w:rPr>
                <w:rFonts w:hint="eastAsia" w:ascii="宋体" w:hAnsi="宋体" w:eastAsia="宋体" w:cs="宋体"/>
                <w:i w:val="0"/>
                <w:iCs w:val="0"/>
                <w:color w:val="000000"/>
                <w:sz w:val="28"/>
                <w:szCs w:val="28"/>
                <w:u w:val="none"/>
              </w:rPr>
            </w:pPr>
          </w:p>
        </w:tc>
      </w:tr>
      <w:tr w14:paraId="7557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30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26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安居凤羽中杆灯7号类杆灯杆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5F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.型号：600W*3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.灯杆材质、高度：18m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ED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C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4C6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B5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3BE">
            <w:pPr>
              <w:jc w:val="right"/>
              <w:rPr>
                <w:rFonts w:hint="eastAsia" w:ascii="宋体" w:hAnsi="宋体" w:eastAsia="宋体" w:cs="宋体"/>
                <w:i w:val="0"/>
                <w:iCs w:val="0"/>
                <w:color w:val="000000"/>
                <w:sz w:val="28"/>
                <w:szCs w:val="28"/>
                <w:u w:val="none"/>
              </w:rPr>
            </w:pPr>
          </w:p>
        </w:tc>
      </w:tr>
      <w:tr w14:paraId="19A8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6B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58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安居凤羽智慧景观路灯1号类杆灯杆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E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.型号：1*180W+3*60W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44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2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A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8EF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526D">
            <w:pPr>
              <w:jc w:val="right"/>
              <w:rPr>
                <w:rFonts w:hint="eastAsia" w:ascii="宋体" w:hAnsi="宋体" w:eastAsia="宋体" w:cs="宋体"/>
                <w:i w:val="0"/>
                <w:iCs w:val="0"/>
                <w:color w:val="000000"/>
                <w:sz w:val="28"/>
                <w:szCs w:val="28"/>
                <w:u w:val="none"/>
              </w:rPr>
            </w:pPr>
          </w:p>
        </w:tc>
      </w:tr>
      <w:tr w14:paraId="7BA3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C9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2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安居凤羽智慧景观路灯3号类杆灯杆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3D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.型号：1*180W+3*60W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C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F8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95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F75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B86B">
            <w:pPr>
              <w:jc w:val="right"/>
              <w:rPr>
                <w:rFonts w:hint="eastAsia" w:ascii="宋体" w:hAnsi="宋体" w:eastAsia="宋体" w:cs="宋体"/>
                <w:i w:val="0"/>
                <w:iCs w:val="0"/>
                <w:color w:val="000000"/>
                <w:sz w:val="28"/>
                <w:szCs w:val="28"/>
                <w:u w:val="none"/>
              </w:rPr>
            </w:pPr>
          </w:p>
        </w:tc>
      </w:tr>
      <w:tr w14:paraId="6DE7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7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66A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安居凤羽智慧景观路灯1号类杆灯杆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1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22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F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B7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EE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F189">
            <w:pPr>
              <w:jc w:val="right"/>
              <w:rPr>
                <w:rFonts w:hint="eastAsia" w:ascii="宋体" w:hAnsi="宋体" w:eastAsia="宋体" w:cs="宋体"/>
                <w:i w:val="0"/>
                <w:iCs w:val="0"/>
                <w:color w:val="000000"/>
                <w:sz w:val="28"/>
                <w:szCs w:val="28"/>
                <w:u w:val="none"/>
              </w:rPr>
            </w:pPr>
          </w:p>
        </w:tc>
      </w:tr>
      <w:tr w14:paraId="1528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2E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14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安居凤羽智慧景观路灯2号类杆灯杆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6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F0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36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A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44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E644">
            <w:pPr>
              <w:jc w:val="right"/>
              <w:rPr>
                <w:rFonts w:hint="eastAsia" w:ascii="宋体" w:hAnsi="宋体" w:eastAsia="宋体" w:cs="宋体"/>
                <w:i w:val="0"/>
                <w:iCs w:val="0"/>
                <w:color w:val="000000"/>
                <w:sz w:val="28"/>
                <w:szCs w:val="28"/>
                <w:u w:val="none"/>
              </w:rPr>
            </w:pPr>
          </w:p>
        </w:tc>
      </w:tr>
      <w:tr w14:paraId="7251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4E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AE5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安居凤羽智慧景观路灯3号类杆灯杆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7A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93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62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07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F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8CF">
            <w:pPr>
              <w:jc w:val="right"/>
              <w:rPr>
                <w:rFonts w:hint="eastAsia" w:ascii="宋体" w:hAnsi="宋体" w:eastAsia="宋体" w:cs="宋体"/>
                <w:i w:val="0"/>
                <w:iCs w:val="0"/>
                <w:color w:val="000000"/>
                <w:sz w:val="28"/>
                <w:szCs w:val="28"/>
                <w:u w:val="none"/>
              </w:rPr>
            </w:pPr>
          </w:p>
        </w:tc>
      </w:tr>
      <w:tr w14:paraId="0FCE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0A8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53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安居凤羽智慧景观路灯4号类杆灯杆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5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31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F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CE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AE7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018">
            <w:pPr>
              <w:jc w:val="right"/>
              <w:rPr>
                <w:rFonts w:hint="eastAsia" w:ascii="宋体" w:hAnsi="宋体" w:eastAsia="宋体" w:cs="宋体"/>
                <w:i w:val="0"/>
                <w:iCs w:val="0"/>
                <w:color w:val="000000"/>
                <w:sz w:val="28"/>
                <w:szCs w:val="28"/>
                <w:u w:val="none"/>
              </w:rPr>
            </w:pPr>
          </w:p>
        </w:tc>
      </w:tr>
      <w:tr w14:paraId="04BB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F8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59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安居凤羽智慧景观路灯5号类杆灯杆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C0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A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34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78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E8A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3175">
            <w:pPr>
              <w:jc w:val="right"/>
              <w:rPr>
                <w:rFonts w:hint="eastAsia" w:ascii="宋体" w:hAnsi="宋体" w:eastAsia="宋体" w:cs="宋体"/>
                <w:i w:val="0"/>
                <w:iCs w:val="0"/>
                <w:color w:val="000000"/>
                <w:sz w:val="28"/>
                <w:szCs w:val="28"/>
                <w:u w:val="none"/>
              </w:rPr>
            </w:pPr>
          </w:p>
        </w:tc>
      </w:tr>
      <w:tr w14:paraId="4A1B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012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93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安居凤羽智慧景观路灯6号类杆灯杆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D1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.型号：1*320W+3*60W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.灯杆材质、高度：15m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B8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EA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2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FF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10CA">
            <w:pPr>
              <w:jc w:val="right"/>
              <w:rPr>
                <w:rFonts w:hint="eastAsia" w:ascii="宋体" w:hAnsi="宋体" w:eastAsia="宋体" w:cs="宋体"/>
                <w:i w:val="0"/>
                <w:iCs w:val="0"/>
                <w:color w:val="000000"/>
                <w:sz w:val="28"/>
                <w:szCs w:val="28"/>
                <w:u w:val="none"/>
              </w:rPr>
            </w:pPr>
          </w:p>
        </w:tc>
      </w:tr>
      <w:tr w14:paraId="4FBC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41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3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安居凤羽中杆灯7号类杆灯杆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6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.型号：600W*3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.灯杆材质、高度：18m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CD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C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7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56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B7DB">
            <w:pPr>
              <w:jc w:val="right"/>
              <w:rPr>
                <w:rFonts w:hint="eastAsia" w:ascii="宋体" w:hAnsi="宋体" w:eastAsia="宋体" w:cs="宋体"/>
                <w:i w:val="0"/>
                <w:iCs w:val="0"/>
                <w:color w:val="000000"/>
                <w:sz w:val="28"/>
                <w:szCs w:val="28"/>
                <w:u w:val="none"/>
              </w:rPr>
            </w:pPr>
          </w:p>
        </w:tc>
      </w:tr>
      <w:tr w14:paraId="4191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45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B49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安居凤羽中杆灯8号类杆灯杆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2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.型号：600W*3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.灯杆材质、高度：18m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2C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2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9C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3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9341">
            <w:pPr>
              <w:jc w:val="right"/>
              <w:rPr>
                <w:rFonts w:hint="eastAsia" w:ascii="宋体" w:hAnsi="宋体" w:eastAsia="宋体" w:cs="宋体"/>
                <w:i w:val="0"/>
                <w:iCs w:val="0"/>
                <w:color w:val="000000"/>
                <w:sz w:val="28"/>
                <w:szCs w:val="28"/>
                <w:u w:val="none"/>
              </w:rPr>
            </w:pPr>
          </w:p>
        </w:tc>
      </w:tr>
      <w:tr w14:paraId="5563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34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CD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安居凤羽中杆灯9号类杆灯杆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9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.型号：600W*3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.灯杆材质、高度：18m</w:t>
            </w:r>
            <w:r>
              <w:rPr>
                <w:rFonts w:hint="eastAsia" w:ascii="宋体" w:hAnsi="宋体" w:eastAsia="宋体" w:cs="宋体"/>
                <w:i w:val="0"/>
                <w:iCs w:val="0"/>
                <w:color w:val="000000"/>
                <w:kern w:val="0"/>
                <w:sz w:val="20"/>
                <w:szCs w:val="20"/>
                <w:u w:val="none"/>
                <w:lang w:val="en-US" w:eastAsia="zh-CN" w:bidi="ar"/>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6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DD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A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00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258">
            <w:pPr>
              <w:jc w:val="right"/>
              <w:rPr>
                <w:rFonts w:hint="eastAsia" w:ascii="宋体" w:hAnsi="宋体" w:eastAsia="宋体" w:cs="宋体"/>
                <w:i w:val="0"/>
                <w:iCs w:val="0"/>
                <w:color w:val="000000"/>
                <w:sz w:val="28"/>
                <w:szCs w:val="28"/>
                <w:u w:val="none"/>
              </w:rPr>
            </w:pPr>
          </w:p>
        </w:tc>
      </w:tr>
      <w:tr w14:paraId="74C7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D68">
            <w:pPr>
              <w:jc w:val="center"/>
              <w:rPr>
                <w:rFonts w:hint="eastAsia" w:ascii="宋体" w:hAnsi="宋体" w:eastAsia="宋体" w:cs="宋体"/>
                <w:i w:val="0"/>
                <w:iCs w:val="0"/>
                <w:color w:val="000000"/>
                <w:sz w:val="21"/>
                <w:szCs w:val="21"/>
                <w:u w:val="none"/>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F6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55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31EA">
            <w:pPr>
              <w:jc w:val="left"/>
              <w:rPr>
                <w:rFonts w:hint="eastAsia" w:ascii="微软雅黑" w:hAnsi="微软雅黑" w:eastAsia="微软雅黑" w:cs="微软雅黑"/>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47B3">
            <w:pPr>
              <w:jc w:val="left"/>
              <w:rPr>
                <w:rFonts w:hint="eastAsia" w:ascii="微软雅黑" w:hAnsi="微软雅黑" w:eastAsia="微软雅黑" w:cs="微软雅黑"/>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CB74">
            <w:pPr>
              <w:jc w:val="left"/>
              <w:rPr>
                <w:rFonts w:hint="eastAsia" w:ascii="微软雅黑" w:hAnsi="微软雅黑" w:eastAsia="微软雅黑" w:cs="微软雅黑"/>
                <w:i w:val="0"/>
                <w:iCs w:val="0"/>
                <w:color w:val="000000"/>
                <w:sz w:val="20"/>
                <w:szCs w:val="20"/>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E2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DF9B">
            <w:pPr>
              <w:jc w:val="both"/>
              <w:rPr>
                <w:rFonts w:hint="eastAsia" w:ascii="宋体" w:hAnsi="宋体" w:eastAsia="宋体" w:cs="宋体"/>
                <w:i w:val="0"/>
                <w:iCs w:val="0"/>
                <w:color w:val="000000"/>
                <w:sz w:val="28"/>
                <w:szCs w:val="28"/>
                <w:u w:val="none"/>
              </w:rPr>
            </w:pPr>
          </w:p>
        </w:tc>
      </w:tr>
      <w:tr w14:paraId="63A1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2A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说明</w:t>
            </w:r>
          </w:p>
        </w:tc>
        <w:tc>
          <w:tcPr>
            <w:tcW w:w="96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CAF407">
            <w:pPr>
              <w:keepNext w:val="0"/>
              <w:keepLines w:val="0"/>
              <w:widowControl/>
              <w:numPr>
                <w:ilvl w:val="0"/>
                <w:numId w:val="3"/>
              </w:numPr>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暂定合同总价：               元。</w:t>
            </w:r>
          </w:p>
          <w:p w14:paraId="25AFD8AF">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2、说明：此综合单价包含路灯灯具，不含基础预埋件、不含下杆线及主线缆，含</w:t>
            </w:r>
            <w:r>
              <w:rPr>
                <w:rFonts w:hint="eastAsia" w:ascii="微软雅黑" w:hAnsi="微软雅黑" w:eastAsia="微软雅黑" w:cs="微软雅黑"/>
                <w:i w:val="0"/>
                <w:iCs w:val="0"/>
                <w:color w:val="000000"/>
                <w:kern w:val="0"/>
                <w:sz w:val="20"/>
                <w:szCs w:val="20"/>
                <w:u w:val="single"/>
                <w:lang w:val="en-US" w:eastAsia="zh-CN" w:bidi="ar"/>
              </w:rPr>
              <w:t xml:space="preserve">  </w:t>
            </w:r>
            <w:r>
              <w:rPr>
                <w:rFonts w:hint="eastAsia" w:ascii="微软雅黑" w:hAnsi="微软雅黑" w:eastAsia="微软雅黑" w:cs="微软雅黑"/>
                <w:i w:val="0"/>
                <w:iCs w:val="0"/>
                <w:color w:val="000000"/>
                <w:kern w:val="0"/>
                <w:sz w:val="20"/>
                <w:szCs w:val="20"/>
                <w:u w:val="none"/>
                <w:lang w:val="en-US" w:eastAsia="zh-CN" w:bidi="ar"/>
              </w:rPr>
              <w:t>%增值税、含运费、含路面以上安装、不接线，基础预埋现场指导。产品质量标准符合设计图纸要求、现行国家规范、采购人要求。提供产品配送清单、出厂检测报告、合格证书及相关质量资料。本合同履行期间，合同单价不变，甲方无需向乙方支付其他任何费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3、本合同数量依据甲方施工合同清单量暂定，最终结算工程量以甲方审计结算为准。</w:t>
            </w:r>
          </w:p>
        </w:tc>
      </w:tr>
    </w:tbl>
    <w:p w14:paraId="4CF1F0D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暂定</w:t>
      </w:r>
      <w:r>
        <w:rPr>
          <w:rFonts w:hint="eastAsia" w:ascii="宋体" w:hAnsi="宋体" w:cs="宋体"/>
          <w:b w:val="0"/>
          <w:bCs w:val="0"/>
          <w:color w:val="auto"/>
          <w:sz w:val="24"/>
          <w:szCs w:val="24"/>
          <w:highlight w:val="none"/>
          <w:lang w:val="en-US" w:eastAsia="zh-CN"/>
        </w:rPr>
        <w:t>含税</w:t>
      </w:r>
      <w:r>
        <w:rPr>
          <w:rFonts w:hint="eastAsia" w:ascii="宋体" w:hAnsi="宋体" w:eastAsia="宋体" w:cs="宋体"/>
          <w:b w:val="0"/>
          <w:bCs w:val="0"/>
          <w:color w:val="auto"/>
          <w:sz w:val="24"/>
          <w:szCs w:val="24"/>
          <w:highlight w:val="none"/>
          <w:lang w:val="en-US" w:eastAsia="zh-CN"/>
        </w:rPr>
        <w:t>总价：           元</w:t>
      </w:r>
      <w:r>
        <w:rPr>
          <w:rFonts w:hint="eastAsia" w:ascii="宋体" w:hAnsi="宋体" w:cs="宋体"/>
          <w:b w:val="0"/>
          <w:bCs w:val="0"/>
          <w:color w:val="auto"/>
          <w:kern w:val="0"/>
          <w:sz w:val="24"/>
          <w:szCs w:val="24"/>
          <w:highlight w:val="none"/>
          <w:u w:val="none"/>
          <w:lang w:val="en-US" w:eastAsia="zh-CN"/>
        </w:rPr>
        <w:t>，</w:t>
      </w:r>
      <w:r>
        <w:rPr>
          <w:rFonts w:hint="eastAsia" w:ascii="宋体" w:hAnsi="宋体" w:cs="宋体"/>
          <w:b w:val="0"/>
          <w:bCs w:val="0"/>
          <w:color w:val="auto"/>
          <w:kern w:val="0"/>
          <w:sz w:val="24"/>
          <w:szCs w:val="24"/>
          <w:highlight w:val="none"/>
          <w:lang w:val="en-US" w:eastAsia="zh-CN"/>
        </w:rPr>
        <w:t>大写</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4F7444A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1.3此价格为固定单价，包含</w:t>
      </w:r>
      <w:r>
        <w:rPr>
          <w:rFonts w:hint="eastAsia" w:ascii="宋体" w:hAnsi="宋体" w:cs="宋体"/>
          <w:b w:val="0"/>
          <w:bCs w:val="0"/>
          <w:color w:val="auto"/>
          <w:sz w:val="24"/>
          <w:szCs w:val="24"/>
          <w:highlight w:val="none"/>
          <w:lang w:val="en-US" w:eastAsia="zh-CN"/>
        </w:rPr>
        <w:t>但不限于</w:t>
      </w:r>
      <w:r>
        <w:rPr>
          <w:rFonts w:hint="eastAsia" w:ascii="宋体" w:hAnsi="宋体" w:eastAsia="宋体" w:cs="宋体"/>
          <w:b w:val="0"/>
          <w:bCs w:val="0"/>
          <w:color w:val="auto"/>
          <w:sz w:val="24"/>
          <w:szCs w:val="24"/>
          <w:highlight w:val="none"/>
          <w:lang w:val="en-US" w:eastAsia="zh-CN"/>
        </w:rPr>
        <w:t>路灯灯具，  %增值税，含运费、含路面以上安装、不含基础预埋件、不含下杆线及主线缆，不接线，基础预埋现场指导。产品质量标准符合设计图纸要求、现行国家规范、采购人要求。提供产品配送清单、出厂检测报告、合格证书及相关质量资料。本合同履行期间，合同单价不变，甲方无需向乙方支付其他任何费用。</w:t>
      </w:r>
    </w:p>
    <w:p w14:paraId="56BB0A7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第二条：质量标准</w:t>
      </w:r>
    </w:p>
    <w:p w14:paraId="78F9594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2.1产品质量标准要求按</w:t>
      </w:r>
      <w:r>
        <w:rPr>
          <w:rFonts w:hint="eastAsia" w:ascii="宋体" w:hAnsi="宋体" w:eastAsia="宋体" w:cs="宋体"/>
          <w:color w:val="auto"/>
          <w:sz w:val="24"/>
          <w:szCs w:val="24"/>
          <w:highlight w:val="none"/>
          <w:u w:val="single"/>
        </w:rPr>
        <w:t>国家相关</w:t>
      </w:r>
      <w:r>
        <w:rPr>
          <w:rFonts w:hint="eastAsia" w:ascii="宋体" w:hAnsi="宋体" w:eastAsia="宋体" w:cs="宋体"/>
          <w:color w:val="auto"/>
          <w:sz w:val="24"/>
          <w:szCs w:val="24"/>
          <w:highlight w:val="none"/>
        </w:rPr>
        <w:t>标准、</w:t>
      </w:r>
      <w:r>
        <w:rPr>
          <w:rFonts w:hint="eastAsia" w:ascii="宋体" w:hAnsi="宋体" w:cs="宋体"/>
          <w:color w:val="auto"/>
          <w:sz w:val="24"/>
          <w:szCs w:val="24"/>
          <w:highlight w:val="none"/>
          <w:lang w:val="en-US" w:eastAsia="zh-CN"/>
        </w:rPr>
        <w:t>符合设计图纸要求、</w:t>
      </w:r>
      <w:r>
        <w:rPr>
          <w:rFonts w:hint="eastAsia" w:ascii="宋体" w:hAnsi="宋体" w:eastAsia="宋体" w:cs="宋体"/>
          <w:color w:val="auto"/>
          <w:sz w:val="24"/>
          <w:szCs w:val="24"/>
          <w:highlight w:val="none"/>
        </w:rPr>
        <w:t>同类产品相关标准及合同约定条款执行。</w:t>
      </w:r>
    </w:p>
    <w:p w14:paraId="3502FE8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2.2质量保证期：质保</w:t>
      </w:r>
      <w:r>
        <w:rPr>
          <w:rFonts w:hint="eastAsia" w:ascii="宋体" w:hAnsi="宋体" w:eastAsia="宋体" w:cs="宋体"/>
          <w:b w:val="0"/>
          <w:bCs w:val="0"/>
          <w:color w:val="auto"/>
          <w:kern w:val="2"/>
          <w:sz w:val="24"/>
          <w:szCs w:val="24"/>
          <w:highlight w:val="none"/>
          <w:u w:val="single"/>
          <w:lang w:val="en-US" w:eastAsia="zh-CN" w:bidi="ar-SA"/>
        </w:rPr>
        <w:t xml:space="preserve"> 1 </w:t>
      </w:r>
      <w:r>
        <w:rPr>
          <w:rFonts w:hint="eastAsia" w:ascii="宋体" w:hAnsi="宋体" w:eastAsia="宋体" w:cs="宋体"/>
          <w:b w:val="0"/>
          <w:bCs w:val="0"/>
          <w:color w:val="auto"/>
          <w:kern w:val="2"/>
          <w:sz w:val="24"/>
          <w:szCs w:val="24"/>
          <w:highlight w:val="none"/>
          <w:lang w:val="en-US" w:eastAsia="zh-CN" w:bidi="ar-SA"/>
        </w:rPr>
        <w:t>年，自供货完毕且验收合格之日起算。</w:t>
      </w:r>
    </w:p>
    <w:p w14:paraId="639DAB9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第三条：交（提）货时间、地点</w:t>
      </w:r>
    </w:p>
    <w:p w14:paraId="673ABAB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3.1交货时间：</w:t>
      </w:r>
      <w:r>
        <w:rPr>
          <w:rFonts w:hint="eastAsia" w:ascii="宋体" w:hAnsi="宋体" w:eastAsia="宋体" w:cs="宋体"/>
          <w:bCs/>
          <w:color w:val="auto"/>
          <w:sz w:val="24"/>
          <w:szCs w:val="24"/>
          <w:highlight w:val="none"/>
          <w:u w:val="single"/>
        </w:rPr>
        <w:t>合同签订后</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日内开始供货，保证施工进度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乙方应当在收到甲方供货通知后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日内送货到甲方指定地点。</w:t>
      </w:r>
    </w:p>
    <w:p w14:paraId="18D5D19D">
      <w:pPr>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3.2交货地点：</w:t>
      </w:r>
      <w:r>
        <w:rPr>
          <w:rFonts w:hint="eastAsia" w:ascii="宋体" w:hAnsi="宋体" w:eastAsia="宋体" w:cs="宋体"/>
          <w:color w:val="auto"/>
          <w:sz w:val="24"/>
          <w:szCs w:val="24"/>
          <w:highlight w:val="none"/>
          <w:u w:val="single"/>
        </w:rPr>
        <w:t xml:space="preserve">  安居区  </w:t>
      </w:r>
      <w:r>
        <w:rPr>
          <w:rFonts w:hint="eastAsia" w:ascii="宋体" w:hAnsi="宋体" w:eastAsia="宋体" w:cs="宋体"/>
          <w:color w:val="auto"/>
          <w:sz w:val="24"/>
          <w:szCs w:val="24"/>
          <w:highlight w:val="none"/>
        </w:rPr>
        <w:t>。</w:t>
      </w:r>
    </w:p>
    <w:p w14:paraId="7E838C53">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第四条：运输方式及费用承担</w:t>
      </w:r>
    </w:p>
    <w:p w14:paraId="48C8D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由</w:t>
      </w:r>
      <w:r>
        <w:rPr>
          <w:rFonts w:hint="eastAsia" w:ascii="宋体" w:hAnsi="宋体" w:eastAsia="宋体" w:cs="宋体"/>
          <w:bCs/>
          <w:color w:val="auto"/>
          <w:sz w:val="24"/>
          <w:szCs w:val="24"/>
          <w:highlight w:val="none"/>
        </w:rPr>
        <w:t>乙方自行安排运输工具运至交货地点，费用由乙方负责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并自行承担甲方</w:t>
      </w:r>
      <w:r>
        <w:rPr>
          <w:rFonts w:hint="eastAsia" w:ascii="宋体" w:hAnsi="宋体" w:cs="宋体"/>
          <w:bCs/>
          <w:color w:val="auto"/>
          <w:sz w:val="24"/>
          <w:szCs w:val="24"/>
          <w:highlight w:val="none"/>
          <w:lang w:val="en-US" w:eastAsia="zh-CN"/>
        </w:rPr>
        <w:t>验收合格</w:t>
      </w:r>
      <w:r>
        <w:rPr>
          <w:rFonts w:hint="eastAsia" w:ascii="宋体" w:hAnsi="宋体" w:eastAsia="宋体" w:cs="宋体"/>
          <w:bCs/>
          <w:color w:val="auto"/>
          <w:sz w:val="24"/>
          <w:szCs w:val="24"/>
          <w:highlight w:val="none"/>
          <w:lang w:val="en-US" w:eastAsia="zh-CN"/>
        </w:rPr>
        <w:t>前的所有安全责任。</w:t>
      </w:r>
    </w:p>
    <w:p w14:paraId="00B27807">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第五条：验收标准、签收及争议</w:t>
      </w:r>
    </w:p>
    <w:p w14:paraId="0775DB4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5.1验收标准</w:t>
      </w:r>
    </w:p>
    <w:p w14:paraId="4B90148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按合同约定条款验收，同时按国家相关标准及同类产品相关标准执行。</w:t>
      </w:r>
    </w:p>
    <w:p w14:paraId="75F979B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5.2签收</w:t>
      </w:r>
    </w:p>
    <w:p w14:paraId="0E99593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产品到达交货地点后，甲方对产品数量、规格等进行签收。乙方需同时提供产品配送清单、出厂检测报告、合格证书及相关资料。</w:t>
      </w:r>
      <w:r>
        <w:rPr>
          <w:rFonts w:hint="eastAsia" w:ascii="宋体" w:hAnsi="宋体" w:eastAsia="宋体" w:cs="宋体"/>
          <w:color w:val="auto"/>
          <w:sz w:val="24"/>
          <w:szCs w:val="24"/>
          <w:highlight w:val="none"/>
          <w:lang w:val="en-US" w:eastAsia="zh-CN"/>
        </w:rPr>
        <w:t>甲方验收合格仅代表甲方认可乙方交付货物数量、规格符合本合同约定，不代表甲方认可乙方交付货物质量，乙方应当自行对货物质量负责。</w:t>
      </w:r>
    </w:p>
    <w:p w14:paraId="5BCCBE93">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5.3争议</w:t>
      </w:r>
    </w:p>
    <w:p w14:paraId="786E1936">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双方对乙方提供的产品是否符合验收标准发生争议，双方应在争议发生当天将有争议的产品封存，10日内将封存产品提交甲方所在地省级以上具有合法资质的检测、鉴定机构进行检测、鉴定，双方同意以该机构出具的报告为准，检测、鉴定费用由乙方先行支付，如检测、鉴定合格，检测、鉴定费用由甲方承担，如检测、鉴定不合格，检测、鉴定费用由乙方承担。如乙方拖延、拒绝检测、鉴定或拖延、拒绝支付费用的，则视为乙方交付的产品不符合合同约定的质量标准。</w:t>
      </w:r>
    </w:p>
    <w:p w14:paraId="3875AE31">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第六条：单价调整</w:t>
      </w:r>
    </w:p>
    <w:p w14:paraId="658D493A">
      <w:pPr>
        <w:pageBreakBefore w:val="0"/>
        <w:widowControl/>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本合同为</w:t>
      </w:r>
      <w:r>
        <w:rPr>
          <w:rFonts w:hint="eastAsia" w:ascii="宋体" w:hAnsi="宋体" w:eastAsia="宋体" w:cs="宋体"/>
          <w:b/>
          <w:bCs/>
          <w:color w:val="auto"/>
          <w:sz w:val="24"/>
          <w:szCs w:val="24"/>
          <w:highlight w:val="none"/>
          <w:lang w:val="en-US" w:eastAsia="zh-CN"/>
        </w:rPr>
        <w:t>固定</w:t>
      </w:r>
      <w:r>
        <w:rPr>
          <w:rFonts w:hint="eastAsia" w:ascii="宋体" w:hAnsi="宋体" w:eastAsia="宋体" w:cs="宋体"/>
          <w:b/>
          <w:bCs/>
          <w:color w:val="auto"/>
          <w:sz w:val="24"/>
          <w:szCs w:val="24"/>
          <w:highlight w:val="none"/>
        </w:rPr>
        <w:t>单价合同</w:t>
      </w:r>
      <w:r>
        <w:rPr>
          <w:rFonts w:hint="eastAsia" w:ascii="宋体" w:hAnsi="宋体" w:eastAsia="宋体" w:cs="宋体"/>
          <w:color w:val="auto"/>
          <w:sz w:val="24"/>
          <w:szCs w:val="24"/>
          <w:highlight w:val="none"/>
        </w:rPr>
        <w:t>，本合同单价仅限于</w:t>
      </w:r>
      <w:r>
        <w:rPr>
          <w:rFonts w:hint="eastAsia" w:ascii="宋体" w:hAnsi="宋体" w:eastAsia="宋体" w:cs="宋体"/>
          <w:b w:val="0"/>
          <w:bCs w:val="0"/>
          <w:color w:val="auto"/>
          <w:sz w:val="24"/>
          <w:szCs w:val="24"/>
          <w:highlight w:val="none"/>
          <w:u w:val="none"/>
        </w:rPr>
        <w:t>“</w:t>
      </w:r>
      <w:r>
        <w:rPr>
          <w:rFonts w:hint="eastAsia" w:ascii="宋体" w:hAnsi="宋体" w:cs="宋体"/>
          <w:sz w:val="24"/>
          <w:szCs w:val="24"/>
          <w:u w:val="none"/>
        </w:rPr>
        <w:t>遂宁市安居区梧桐路片区城市污水管网整治及附属设施提升项目／遂宁市安居区城南旧城片区城市排水防涝整治建设项目</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自合同签订之日起一年内有效。</w:t>
      </w:r>
    </w:p>
    <w:p w14:paraId="7C2D5BC6">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第七条：结算及支付</w:t>
      </w:r>
    </w:p>
    <w:p w14:paraId="27FF50E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7.1结算方式</w:t>
      </w:r>
    </w:p>
    <w:p w14:paraId="0906D0D9">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经甲方确认无需供货后，根据甲方签收的盖有乙方公章的发货单，由甲乙双方共同核算确认最终结算价。</w:t>
      </w:r>
    </w:p>
    <w:p w14:paraId="25477D3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7.2支付方式</w:t>
      </w:r>
    </w:p>
    <w:p w14:paraId="00B32F5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7.2.1合同签订</w:t>
      </w:r>
      <w:r>
        <w:rPr>
          <w:rFonts w:hint="eastAsia" w:ascii="宋体" w:hAnsi="宋体" w:cs="宋体"/>
          <w:color w:val="auto"/>
          <w:sz w:val="24"/>
          <w:szCs w:val="24"/>
          <w:lang w:val="en-US" w:eastAsia="zh-CN"/>
        </w:rPr>
        <w:t>生效后</w:t>
      </w:r>
      <w:r>
        <w:rPr>
          <w:rFonts w:hint="eastAsia" w:ascii="宋体" w:hAnsi="宋体" w:eastAsia="宋体" w:cs="宋体"/>
          <w:color w:val="auto"/>
          <w:sz w:val="24"/>
          <w:szCs w:val="24"/>
        </w:rPr>
        <w:t>，甲方预付乙方暂定合同总价的</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0</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乙方分批</w:t>
      </w:r>
      <w:r>
        <w:rPr>
          <w:rFonts w:hint="eastAsia" w:ascii="宋体" w:hAnsi="宋体" w:eastAsia="宋体" w:cs="宋体"/>
          <w:color w:val="auto"/>
          <w:sz w:val="24"/>
          <w:szCs w:val="24"/>
        </w:rPr>
        <w:t>供货完成，经甲方</w:t>
      </w:r>
      <w:r>
        <w:rPr>
          <w:rFonts w:hint="eastAsia" w:ascii="宋体" w:hAnsi="宋体" w:cs="宋体"/>
          <w:color w:val="auto"/>
          <w:sz w:val="24"/>
          <w:szCs w:val="24"/>
          <w:lang w:val="en-US" w:eastAsia="zh-CN"/>
        </w:rPr>
        <w:t>验收合格</w:t>
      </w:r>
      <w:r>
        <w:rPr>
          <w:rFonts w:hint="eastAsia" w:ascii="宋体" w:hAnsi="宋体" w:eastAsia="宋体" w:cs="宋体"/>
          <w:color w:val="auto"/>
          <w:sz w:val="24"/>
          <w:szCs w:val="24"/>
        </w:rPr>
        <w:t>且完善所有资料后，甲方按月进度支付</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到货量</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u w:val="none"/>
          <w:lang w:val="en-US" w:eastAsia="zh-CN"/>
        </w:rPr>
        <w:t>款</w:t>
      </w:r>
      <w:r>
        <w:rPr>
          <w:rFonts w:hint="eastAsia" w:ascii="宋体" w:hAnsi="宋体" w:eastAsia="宋体" w:cs="宋体"/>
          <w:color w:val="auto"/>
          <w:sz w:val="24"/>
          <w:szCs w:val="24"/>
          <w:u w:val="none"/>
        </w:rPr>
        <w:t>的</w:t>
      </w:r>
      <w:r>
        <w:rPr>
          <w:rFonts w:hint="eastAsia" w:ascii="宋体" w:hAnsi="宋体" w:cs="宋体"/>
          <w:color w:val="auto"/>
          <w:sz w:val="24"/>
          <w:szCs w:val="24"/>
          <w:u w:val="none"/>
          <w:lang w:val="en-US" w:eastAsia="zh-CN"/>
        </w:rPr>
        <w:t>7</w:t>
      </w:r>
      <w:r>
        <w:rPr>
          <w:rFonts w:hint="eastAsia" w:ascii="宋体" w:hAnsi="宋体" w:eastAsia="宋体" w:cs="宋体"/>
          <w:color w:val="auto"/>
          <w:sz w:val="24"/>
          <w:szCs w:val="24"/>
          <w:u w:val="none"/>
        </w:rPr>
        <w:t>0%（预付款抵扣相应进度款）</w:t>
      </w:r>
      <w:r>
        <w:rPr>
          <w:rFonts w:hint="eastAsia" w:ascii="宋体" w:hAnsi="宋体" w:eastAsia="宋体" w:cs="宋体"/>
          <w:color w:val="auto"/>
          <w:sz w:val="24"/>
          <w:szCs w:val="24"/>
          <w:u w:val="none"/>
          <w:lang w:eastAsia="zh-CN"/>
        </w:rPr>
        <w:t>，</w:t>
      </w:r>
      <w:r>
        <w:rPr>
          <w:rFonts w:hint="eastAsia" w:ascii="宋体" w:hAnsi="宋体" w:cs="宋体"/>
          <w:color w:val="auto"/>
          <w:sz w:val="24"/>
          <w:szCs w:val="24"/>
          <w:u w:val="none"/>
        </w:rPr>
        <w:t>乙方需完善相关资料并交付相应合法有效完整的税务发票并作为甲</w:t>
      </w:r>
      <w:r>
        <w:rPr>
          <w:rFonts w:hint="eastAsia" w:ascii="宋体" w:hAnsi="宋体" w:cs="宋体"/>
          <w:color w:val="auto"/>
          <w:sz w:val="24"/>
          <w:szCs w:val="24"/>
        </w:rPr>
        <w:t>方付款的附件，否则甲方有权暂缓款项支付并不视为甲方违约。（</w:t>
      </w:r>
      <w:r>
        <w:rPr>
          <w:rFonts w:hint="eastAsia" w:ascii="宋体" w:hAnsi="宋体" w:cs="宋体"/>
          <w:b/>
          <w:bCs/>
          <w:color w:val="auto"/>
          <w:sz w:val="24"/>
          <w:szCs w:val="24"/>
        </w:rPr>
        <w:t>税率</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w:t>
      </w:r>
      <w:r>
        <w:rPr>
          <w:rFonts w:hint="eastAsia" w:ascii="宋体" w:hAnsi="宋体" w:cs="宋体"/>
          <w:color w:val="auto"/>
          <w:sz w:val="24"/>
          <w:szCs w:val="24"/>
        </w:rPr>
        <w:t>的增值税专用发票）</w:t>
      </w:r>
    </w:p>
    <w:p w14:paraId="220D529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7.2.2</w:t>
      </w:r>
      <w:r>
        <w:rPr>
          <w:rFonts w:hint="eastAsia" w:ascii="宋体" w:hAnsi="宋体" w:cs="宋体"/>
          <w:color w:val="auto"/>
          <w:sz w:val="24"/>
          <w:szCs w:val="24"/>
          <w:highlight w:val="none"/>
          <w:lang w:val="en-US" w:eastAsia="zh-CN"/>
        </w:rPr>
        <w:t>全部材料供货安装调试完成</w:t>
      </w:r>
      <w:r>
        <w:rPr>
          <w:rFonts w:hint="eastAsia" w:ascii="宋体" w:hAnsi="宋体" w:cs="宋体"/>
          <w:color w:val="auto"/>
          <w:sz w:val="24"/>
          <w:szCs w:val="24"/>
        </w:rPr>
        <w:t>，甲方按签收量支付至签收货款总价的90%，乙方应完善相关资料并提供本次增值税专用发票</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b/>
          <w:bCs/>
          <w:color w:val="auto"/>
          <w:sz w:val="24"/>
          <w:szCs w:val="24"/>
        </w:rPr>
        <w:t>税率</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w:t>
      </w:r>
      <w:r>
        <w:rPr>
          <w:rFonts w:hint="eastAsia" w:ascii="宋体" w:hAnsi="宋体" w:cs="宋体"/>
          <w:color w:val="auto"/>
          <w:sz w:val="24"/>
          <w:szCs w:val="24"/>
        </w:rPr>
        <w:t>的增值税专用发票）</w:t>
      </w:r>
    </w:p>
    <w:p w14:paraId="39BA8235">
      <w:pPr>
        <w:spacing w:line="360" w:lineRule="auto"/>
        <w:ind w:firstLine="480" w:firstLineChars="200"/>
        <w:rPr>
          <w:rFonts w:hint="eastAsia"/>
        </w:rPr>
      </w:pPr>
      <w:r>
        <w:rPr>
          <w:rFonts w:hint="eastAsia" w:ascii="宋体" w:hAnsi="宋体" w:cs="宋体"/>
          <w:b w:val="0"/>
          <w:bCs w:val="0"/>
          <w:sz w:val="24"/>
          <w:szCs w:val="24"/>
          <w:highlight w:val="none"/>
          <w:u w:val="none"/>
        </w:rPr>
        <w:t>7.2.3</w:t>
      </w:r>
      <w:r>
        <w:rPr>
          <w:rFonts w:hint="eastAsia" w:ascii="宋体" w:hAnsi="宋体" w:cs="宋体"/>
          <w:b w:val="0"/>
          <w:bCs w:val="0"/>
          <w:sz w:val="24"/>
          <w:szCs w:val="24"/>
          <w:highlight w:val="none"/>
          <w:u w:val="none"/>
          <w:lang w:val="en-US" w:eastAsia="zh-CN"/>
        </w:rPr>
        <w:t>全部材料</w:t>
      </w:r>
      <w:r>
        <w:rPr>
          <w:rFonts w:hint="eastAsia" w:ascii="宋体" w:hAnsi="宋体" w:cs="宋体"/>
          <w:b w:val="0"/>
          <w:bCs w:val="0"/>
          <w:sz w:val="24"/>
          <w:szCs w:val="24"/>
          <w:highlight w:val="none"/>
          <w:u w:val="none"/>
        </w:rPr>
        <w:t>验收资料完善并甲方获得相应工程款后，甲乙双方根据所有签收量与决算</w:t>
      </w:r>
      <w:r>
        <w:rPr>
          <w:rFonts w:hint="eastAsia" w:ascii="宋体" w:hAnsi="宋体" w:cs="宋体"/>
          <w:b w:val="0"/>
          <w:bCs w:val="0"/>
          <w:color w:val="auto"/>
          <w:sz w:val="24"/>
          <w:szCs w:val="24"/>
          <w:highlight w:val="none"/>
          <w:u w:val="none"/>
        </w:rPr>
        <w:t>量进行决算，甲方根据最终决算总价支付乙方剩余尾款（质保金除外）</w:t>
      </w:r>
      <w:r>
        <w:rPr>
          <w:rFonts w:hint="eastAsia" w:ascii="宋体" w:hAnsi="宋体" w:cs="宋体"/>
          <w:b w:val="0"/>
          <w:bCs w:val="0"/>
          <w:color w:val="auto"/>
          <w:sz w:val="24"/>
          <w:szCs w:val="24"/>
          <w:u w:val="none"/>
        </w:rPr>
        <w:t>。乙方需完善相关资料并提供最终结算总价尾款发票</w:t>
      </w:r>
      <w:r>
        <w:rPr>
          <w:rFonts w:hint="eastAsia" w:ascii="宋体" w:hAnsi="宋体" w:cs="宋体"/>
          <w:b w:val="0"/>
          <w:bCs w:val="0"/>
          <w:color w:val="auto"/>
          <w:sz w:val="24"/>
          <w:szCs w:val="24"/>
          <w:u w:val="none"/>
          <w:lang w:eastAsia="zh-CN"/>
        </w:rPr>
        <w:t>。</w:t>
      </w:r>
      <w:r>
        <w:rPr>
          <w:rFonts w:hint="eastAsia" w:ascii="宋体" w:hAnsi="宋体" w:cs="宋体"/>
          <w:b w:val="0"/>
          <w:bCs w:val="0"/>
          <w:color w:val="auto"/>
          <w:sz w:val="24"/>
          <w:szCs w:val="24"/>
          <w:u w:val="none"/>
        </w:rPr>
        <w:t>（</w:t>
      </w:r>
      <w:r>
        <w:rPr>
          <w:rFonts w:hint="eastAsia" w:ascii="宋体" w:hAnsi="宋体" w:cs="宋体"/>
          <w:b/>
          <w:bCs/>
          <w:color w:val="auto"/>
          <w:sz w:val="24"/>
          <w:szCs w:val="24"/>
          <w:u w:val="none"/>
        </w:rPr>
        <w:t>税率</w:t>
      </w:r>
      <w:r>
        <w:rPr>
          <w:rFonts w:hint="eastAsia" w:ascii="宋体" w:hAnsi="宋体" w:cs="宋体"/>
          <w:b/>
          <w:bCs/>
          <w:color w:val="auto"/>
          <w:sz w:val="24"/>
          <w:szCs w:val="24"/>
          <w:u w:val="none"/>
          <w:lang w:val="en-US" w:eastAsia="zh-CN"/>
        </w:rPr>
        <w:t xml:space="preserve">  </w:t>
      </w:r>
      <w:r>
        <w:rPr>
          <w:rFonts w:hint="eastAsia" w:ascii="宋体" w:hAnsi="宋体" w:cs="宋体"/>
          <w:b/>
          <w:bCs/>
          <w:color w:val="auto"/>
          <w:sz w:val="24"/>
          <w:szCs w:val="24"/>
          <w:u w:val="none"/>
        </w:rPr>
        <w:t>%</w:t>
      </w:r>
      <w:r>
        <w:rPr>
          <w:rFonts w:hint="eastAsia" w:ascii="宋体" w:hAnsi="宋体" w:cs="宋体"/>
          <w:b w:val="0"/>
          <w:bCs w:val="0"/>
          <w:color w:val="auto"/>
          <w:sz w:val="24"/>
          <w:szCs w:val="24"/>
          <w:u w:val="none"/>
        </w:rPr>
        <w:t>的增值税专用发票）</w:t>
      </w:r>
    </w:p>
    <w:p w14:paraId="19E00D7D">
      <w:pPr>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4质保金为最终决算总价的5%(质保金不计息)，质量缺陷责任期满后经确认且无任何质量问题后退回。</w:t>
      </w:r>
    </w:p>
    <w:p w14:paraId="5F505D4E">
      <w:pPr>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5甲方每次转款前，乙方需完善相关资料并交付相应发票并作为甲方付款的附件，否则甲方有权暂缓款项支付并不视为甲方违约。（</w:t>
      </w:r>
      <w:r>
        <w:rPr>
          <w:rFonts w:hint="eastAsia" w:ascii="宋体" w:hAnsi="宋体" w:cs="宋体"/>
          <w:b/>
          <w:bCs/>
          <w:color w:val="auto"/>
          <w:sz w:val="24"/>
          <w:szCs w:val="24"/>
          <w:highlight w:val="none"/>
          <w:lang w:val="en-US" w:eastAsia="zh-CN"/>
        </w:rPr>
        <w:t>税率  %</w:t>
      </w:r>
      <w:r>
        <w:rPr>
          <w:rFonts w:hint="eastAsia" w:ascii="宋体" w:hAnsi="宋体" w:cs="宋体"/>
          <w:color w:val="auto"/>
          <w:sz w:val="24"/>
          <w:szCs w:val="24"/>
          <w:highlight w:val="none"/>
          <w:lang w:val="en-US" w:eastAsia="zh-CN"/>
        </w:rPr>
        <w:t>的增值税专用发票)</w:t>
      </w:r>
    </w:p>
    <w:p w14:paraId="396EB837">
      <w:pPr>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合同实际金额达到暂定合同总额时，乙方应以书面形式通知甲方，否则甲方有权不予收货，造成的运输费用等损失由乙方自行承担。同时，因乙方怠于履行通知义务导致合同总金额超过合同暂定总价的，甲方以合同暂定总价为上限向乙方支付货款，超出部分由乙方自行承担。</w:t>
      </w:r>
    </w:p>
    <w:p w14:paraId="63BAE70B">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7.3</w:t>
      </w:r>
      <w:r>
        <w:rPr>
          <w:rFonts w:hint="eastAsia" w:ascii="宋体" w:hAnsi="宋体" w:eastAsia="宋体" w:cs="宋体"/>
          <w:b w:val="0"/>
          <w:bCs w:val="0"/>
          <w:color w:val="auto"/>
          <w:sz w:val="24"/>
          <w:szCs w:val="24"/>
          <w:highlight w:val="none"/>
          <w:lang w:val="en-US" w:eastAsia="zh-Hans"/>
        </w:rPr>
        <w:t>乙方指定收款账户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1550FB3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cs="宋体"/>
          <w:b w:val="0"/>
          <w:bCs w:val="0"/>
          <w:color w:val="auto"/>
          <w:sz w:val="24"/>
          <w:szCs w:val="24"/>
          <w:highlight w:val="none"/>
          <w:lang w:val="en-US" w:eastAsia="zh-CN"/>
        </w:rPr>
        <w:t xml:space="preserve">                  ；</w:t>
      </w:r>
    </w:p>
    <w:p w14:paraId="2BE54B22">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bCs/>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cs="宋体"/>
          <w:b w:val="0"/>
          <w:bCs w:val="0"/>
          <w:color w:val="auto"/>
          <w:sz w:val="24"/>
          <w:szCs w:val="24"/>
          <w:highlight w:val="none"/>
          <w:lang w:val="en-US" w:eastAsia="zh-CN"/>
        </w:rPr>
        <w:t xml:space="preserve">                      。</w:t>
      </w:r>
    </w:p>
    <w:p w14:paraId="69A18850">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第八条：甲乙双方的权利义务</w:t>
      </w:r>
    </w:p>
    <w:p w14:paraId="76A7D1C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8.1甲方的权利义务</w:t>
      </w:r>
    </w:p>
    <w:p w14:paraId="52286A62">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8.1.1乙方供货产品到现场后，甲方接到乙方通知后，需及时安排人员现场接收材料。</w:t>
      </w:r>
    </w:p>
    <w:p w14:paraId="10126E06">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8.1.2甲方如向乙方发出错误通知，造成乙方有损失的，甲方有义务承担乙方因此所受的损失。</w:t>
      </w:r>
    </w:p>
    <w:p w14:paraId="598800DC">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8.1.3甲方有义务按合同约定结算相应货款。</w:t>
      </w:r>
    </w:p>
    <w:p w14:paraId="031779D9">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8.2乙方的权利义务</w:t>
      </w:r>
    </w:p>
    <w:p w14:paraId="67CF3E9F">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8.2.1乙方按甲方进度要求供货，并及时通知甲方验收人员到场验收。</w:t>
      </w:r>
    </w:p>
    <w:p w14:paraId="668739A9">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8.2.2乙方所交产品的型号、规格、质量等必须符合合同规定，不得提供劣质产品。</w:t>
      </w:r>
    </w:p>
    <w:p w14:paraId="2D862CD8">
      <w:pPr>
        <w:pStyle w:val="12"/>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8.2.3乙方必须严格遵守安全操作规范，确保安全，并自行承担由此引起的</w:t>
      </w:r>
      <w:r>
        <w:rPr>
          <w:rFonts w:hint="eastAsia" w:ascii="宋体" w:hAnsi="宋体" w:cs="宋体"/>
          <w:color w:val="auto"/>
          <w:sz w:val="24"/>
          <w:szCs w:val="24"/>
          <w:highlight w:val="none"/>
          <w:lang w:val="en-US" w:eastAsia="zh-CN"/>
        </w:rPr>
        <w:t>一切</w:t>
      </w:r>
      <w:r>
        <w:rPr>
          <w:rFonts w:hint="eastAsia" w:ascii="宋体" w:hAnsi="宋体" w:eastAsia="宋体" w:cs="宋体"/>
          <w:color w:val="auto"/>
          <w:sz w:val="24"/>
          <w:szCs w:val="24"/>
          <w:highlight w:val="none"/>
          <w:lang w:val="en-US" w:eastAsia="zh-CN"/>
        </w:rPr>
        <w:t>经济及法律责任；如甲方因此承担法律责任的，甲方有权向乙方全额追偿。</w:t>
      </w:r>
    </w:p>
    <w:p w14:paraId="57268CB8">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条：违约责任</w:t>
      </w:r>
    </w:p>
    <w:p w14:paraId="29868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9.1甲方违约责任</w:t>
      </w:r>
    </w:p>
    <w:p w14:paraId="119F5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9.1.1</w:t>
      </w:r>
      <w:r>
        <w:rPr>
          <w:rFonts w:hint="eastAsia" w:ascii="宋体" w:hAnsi="宋体" w:cs="宋体"/>
          <w:b w:val="0"/>
          <w:bCs/>
          <w:color w:val="auto"/>
          <w:sz w:val="24"/>
          <w:szCs w:val="24"/>
          <w:highlight w:val="none"/>
          <w:lang w:val="en-US" w:eastAsia="zh-CN"/>
        </w:rPr>
        <w:t>如因甲方逾期支付货款</w:t>
      </w:r>
      <w:r>
        <w:rPr>
          <w:rFonts w:hint="eastAsia" w:ascii="宋体" w:hAnsi="宋体" w:eastAsia="宋体" w:cs="宋体"/>
          <w:b w:val="0"/>
          <w:bCs/>
          <w:color w:val="auto"/>
          <w:sz w:val="24"/>
          <w:szCs w:val="24"/>
          <w:highlight w:val="none"/>
          <w:lang w:eastAsia="zh-CN"/>
        </w:rPr>
        <w:t>乙方提起诉讼</w:t>
      </w:r>
      <w:r>
        <w:rPr>
          <w:rFonts w:hint="eastAsia" w:ascii="宋体" w:hAnsi="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逾期利息以欠付款项为基数，按照全国银行间同业拆借中心公布的同期一年期贷款市场报价利率（</w:t>
      </w:r>
      <w:r>
        <w:rPr>
          <w:rFonts w:hint="eastAsia" w:ascii="宋体" w:hAnsi="宋体" w:cs="宋体"/>
          <w:b w:val="0"/>
          <w:bCs/>
          <w:color w:val="auto"/>
          <w:sz w:val="24"/>
          <w:szCs w:val="24"/>
          <w:highlight w:val="none"/>
          <w:lang w:val="en-US" w:eastAsia="zh-CN"/>
        </w:rPr>
        <w:t>LPR</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1倍</w:t>
      </w:r>
      <w:r>
        <w:rPr>
          <w:rFonts w:hint="eastAsia" w:ascii="宋体" w:hAnsi="宋体" w:eastAsia="宋体" w:cs="宋体"/>
          <w:b w:val="0"/>
          <w:bCs/>
          <w:color w:val="auto"/>
          <w:sz w:val="24"/>
          <w:szCs w:val="24"/>
          <w:highlight w:val="none"/>
          <w:lang w:val="en-US" w:eastAsia="zh-CN"/>
        </w:rPr>
        <w:t>计算。</w:t>
      </w:r>
    </w:p>
    <w:p w14:paraId="2A931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w:t>
      </w:r>
      <w:r>
        <w:rPr>
          <w:rFonts w:hint="eastAsia" w:ascii="宋体" w:hAnsi="宋体" w:eastAsia="宋体" w:cs="宋体"/>
          <w:b w:val="0"/>
          <w:bCs/>
          <w:color w:val="auto"/>
          <w:sz w:val="24"/>
          <w:szCs w:val="24"/>
          <w:highlight w:val="none"/>
        </w:rPr>
        <w:t>乙方违约责任</w:t>
      </w:r>
    </w:p>
    <w:p w14:paraId="0D8CD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9.2.1</w:t>
      </w:r>
      <w:r>
        <w:rPr>
          <w:rFonts w:hint="eastAsia" w:ascii="宋体" w:hAnsi="宋体" w:eastAsia="宋体" w:cs="宋体"/>
          <w:b w:val="0"/>
          <w:bCs/>
          <w:color w:val="auto"/>
          <w:sz w:val="24"/>
          <w:szCs w:val="24"/>
          <w:highlight w:val="none"/>
        </w:rPr>
        <w:t>乙方交付的货物质量不符合合同</w:t>
      </w:r>
      <w:r>
        <w:rPr>
          <w:rFonts w:hint="eastAsia" w:ascii="宋体" w:hAnsi="宋体" w:eastAsia="宋体" w:cs="宋体"/>
          <w:b w:val="0"/>
          <w:bCs/>
          <w:color w:val="auto"/>
          <w:sz w:val="24"/>
          <w:szCs w:val="24"/>
          <w:highlight w:val="none"/>
          <w:lang w:val="en-US" w:eastAsia="zh-CN"/>
        </w:rPr>
        <w:t>约定</w:t>
      </w:r>
      <w:r>
        <w:rPr>
          <w:rFonts w:hint="eastAsia" w:ascii="宋体" w:hAnsi="宋体" w:eastAsia="宋体" w:cs="宋体"/>
          <w:b w:val="0"/>
          <w:bCs/>
          <w:color w:val="auto"/>
          <w:sz w:val="24"/>
          <w:szCs w:val="24"/>
          <w:highlight w:val="none"/>
        </w:rPr>
        <w:t>的，乙方应</w:t>
      </w:r>
      <w:r>
        <w:rPr>
          <w:rFonts w:hint="eastAsia" w:ascii="宋体" w:hAnsi="宋体" w:eastAsia="宋体" w:cs="宋体"/>
          <w:b w:val="0"/>
          <w:bCs/>
          <w:color w:val="auto"/>
          <w:sz w:val="24"/>
          <w:szCs w:val="24"/>
          <w:highlight w:val="none"/>
          <w:lang w:val="en-US" w:eastAsia="zh-CN"/>
        </w:rPr>
        <w:t>当</w:t>
      </w:r>
      <w:r>
        <w:rPr>
          <w:rFonts w:hint="eastAsia" w:ascii="宋体" w:hAnsi="宋体" w:cs="宋体"/>
          <w:b w:val="0"/>
          <w:bCs/>
          <w:color w:val="auto"/>
          <w:sz w:val="24"/>
          <w:szCs w:val="24"/>
          <w:highlight w:val="none"/>
          <w:lang w:val="en-US" w:eastAsia="zh-CN"/>
        </w:rPr>
        <w:t>向甲方支付合同暂定总价10%的违约金，并</w:t>
      </w:r>
      <w:r>
        <w:rPr>
          <w:rFonts w:hint="eastAsia" w:ascii="宋体" w:hAnsi="宋体" w:eastAsia="宋体" w:cs="宋体"/>
          <w:b w:val="0"/>
          <w:bCs/>
          <w:color w:val="auto"/>
          <w:sz w:val="24"/>
          <w:szCs w:val="24"/>
          <w:highlight w:val="none"/>
          <w:lang w:val="en-US" w:eastAsia="zh-CN"/>
        </w:rPr>
        <w:t>在1日内</w:t>
      </w:r>
      <w:r>
        <w:rPr>
          <w:rFonts w:hint="eastAsia" w:ascii="宋体" w:hAnsi="宋体" w:eastAsia="宋体" w:cs="宋体"/>
          <w:b w:val="0"/>
          <w:bCs/>
          <w:color w:val="auto"/>
          <w:sz w:val="24"/>
          <w:szCs w:val="24"/>
          <w:highlight w:val="none"/>
        </w:rPr>
        <w:t>更换合格的货物给甲方，</w:t>
      </w:r>
      <w:r>
        <w:rPr>
          <w:rFonts w:hint="eastAsia" w:ascii="宋体" w:hAnsi="宋体" w:eastAsia="宋体" w:cs="宋体"/>
          <w:b w:val="0"/>
          <w:bCs/>
          <w:color w:val="auto"/>
          <w:sz w:val="24"/>
          <w:szCs w:val="24"/>
          <w:highlight w:val="none"/>
          <w:lang w:eastAsia="zh-Hans"/>
        </w:rPr>
        <w:t>乙方拒绝更换、逾期更换或更换后质量仍不合格的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并无需支付任何费用，同时乙方并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458D1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9.2.2</w:t>
      </w:r>
      <w:r>
        <w:rPr>
          <w:rFonts w:hint="eastAsia" w:ascii="宋体" w:hAnsi="宋体" w:eastAsia="宋体" w:cs="宋体"/>
          <w:b w:val="0"/>
          <w:bCs/>
          <w:color w:val="auto"/>
          <w:sz w:val="24"/>
          <w:szCs w:val="24"/>
          <w:highlight w:val="none"/>
        </w:rPr>
        <w:t>乙方不能交付货物或逾期交付货物而违约的，除应及时交足货物外，应</w:t>
      </w:r>
      <w:r>
        <w:rPr>
          <w:rFonts w:hint="eastAsia" w:ascii="宋体" w:hAnsi="宋体" w:eastAsia="宋体" w:cs="宋体"/>
          <w:b w:val="0"/>
          <w:bCs/>
          <w:color w:val="auto"/>
          <w:sz w:val="24"/>
          <w:szCs w:val="24"/>
          <w:highlight w:val="none"/>
          <w:lang w:val="en-US" w:eastAsia="zh-CN"/>
        </w:rPr>
        <w:t>按日</w:t>
      </w:r>
      <w:r>
        <w:rPr>
          <w:rFonts w:hint="eastAsia" w:ascii="宋体" w:hAnsi="宋体" w:eastAsia="宋体" w:cs="宋体"/>
          <w:b w:val="0"/>
          <w:bCs/>
          <w:color w:val="auto"/>
          <w:sz w:val="24"/>
          <w:szCs w:val="24"/>
          <w:highlight w:val="none"/>
        </w:rPr>
        <w:t>向甲方支付</w:t>
      </w:r>
      <w:r>
        <w:rPr>
          <w:rFonts w:hint="eastAsia" w:ascii="宋体" w:hAnsi="宋体" w:eastAsia="宋体" w:cs="宋体"/>
          <w:b w:val="0"/>
          <w:bCs/>
          <w:color w:val="auto"/>
          <w:sz w:val="24"/>
          <w:szCs w:val="24"/>
          <w:highlight w:val="none"/>
          <w:lang w:val="en-US" w:eastAsia="zh-CN"/>
        </w:rPr>
        <w:t>合同</w:t>
      </w:r>
      <w:r>
        <w:rPr>
          <w:rFonts w:hint="eastAsia" w:ascii="宋体" w:hAnsi="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val="en-US" w:eastAsia="zh-CN"/>
        </w:rPr>
        <w:t>总价0.02%</w:t>
      </w:r>
      <w:r>
        <w:rPr>
          <w:rFonts w:hint="eastAsia" w:ascii="宋体" w:hAnsi="宋体" w:eastAsia="宋体" w:cs="宋体"/>
          <w:b w:val="0"/>
          <w:bCs/>
          <w:color w:val="auto"/>
          <w:sz w:val="24"/>
          <w:szCs w:val="24"/>
          <w:highlight w:val="none"/>
        </w:rPr>
        <w:t>的违约金；逾期交货超过10天</w:t>
      </w:r>
      <w:r>
        <w:rPr>
          <w:rFonts w:hint="eastAsia" w:ascii="宋体" w:hAnsi="宋体" w:eastAsia="宋体" w:cs="宋体"/>
          <w:b w:val="0"/>
          <w:bCs/>
          <w:color w:val="auto"/>
          <w:sz w:val="24"/>
          <w:szCs w:val="24"/>
          <w:highlight w:val="none"/>
          <w:lang w:val="en-US" w:eastAsia="zh-CN"/>
        </w:rPr>
        <w:t>或逾期3次的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56CAC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9.2.3</w:t>
      </w:r>
      <w:r>
        <w:rPr>
          <w:rFonts w:hint="eastAsia" w:ascii="宋体" w:hAnsi="宋体" w:eastAsia="宋体" w:cs="宋体"/>
          <w:b w:val="0"/>
          <w:bCs/>
          <w:color w:val="auto"/>
          <w:sz w:val="24"/>
          <w:szCs w:val="24"/>
          <w:highlight w:val="none"/>
        </w:rPr>
        <w:t>本合同签订后，乙方明确表示或以行为表明拒绝履行合同约定</w:t>
      </w:r>
      <w:r>
        <w:rPr>
          <w:rFonts w:hint="eastAsia" w:ascii="宋体" w:hAnsi="宋体" w:eastAsia="宋体" w:cs="宋体"/>
          <w:b w:val="0"/>
          <w:bCs/>
          <w:color w:val="auto"/>
          <w:sz w:val="24"/>
          <w:szCs w:val="24"/>
          <w:highlight w:val="none"/>
          <w:lang w:val="en-US" w:eastAsia="zh-CN"/>
        </w:rPr>
        <w:t>供货的</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Hans"/>
        </w:rPr>
        <w:t>甲方有权解除合同，</w:t>
      </w:r>
      <w:r>
        <w:rPr>
          <w:rFonts w:hint="eastAsia" w:ascii="宋体" w:hAnsi="宋体" w:cs="宋体"/>
          <w:b w:val="0"/>
          <w:bCs/>
          <w:color w:val="auto"/>
          <w:sz w:val="24"/>
          <w:szCs w:val="24"/>
          <w:highlight w:val="none"/>
          <w:lang w:val="en-US" w:eastAsia="zh-CN"/>
        </w:rPr>
        <w:t>并无需支付任何费用，同时乙方并</w:t>
      </w:r>
      <w:r>
        <w:rPr>
          <w:rFonts w:hint="eastAsia" w:ascii="宋体" w:hAnsi="宋体" w:eastAsia="宋体" w:cs="宋体"/>
          <w:b w:val="0"/>
          <w:bCs/>
          <w:color w:val="auto"/>
          <w:sz w:val="24"/>
          <w:szCs w:val="24"/>
          <w:highlight w:val="none"/>
          <w:lang w:eastAsia="zh-Hans"/>
        </w:rPr>
        <w:t>向甲方支付合同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lang w:eastAsia="zh-Hans"/>
        </w:rPr>
        <w:t>总价20%的违约金。</w:t>
      </w:r>
    </w:p>
    <w:p w14:paraId="52F1D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9.2.4</w:t>
      </w:r>
      <w:r>
        <w:rPr>
          <w:rFonts w:hint="eastAsia" w:ascii="宋体" w:hAnsi="宋体" w:eastAsia="宋体" w:cs="宋体"/>
          <w:b w:val="0"/>
          <w:bCs/>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w:t>
      </w:r>
      <w:r>
        <w:rPr>
          <w:rFonts w:hint="eastAsia" w:ascii="宋体" w:hAnsi="宋体" w:eastAsia="宋体" w:cs="宋体"/>
          <w:b w:val="0"/>
          <w:bCs/>
          <w:color w:val="auto"/>
          <w:sz w:val="24"/>
          <w:szCs w:val="24"/>
          <w:highlight w:val="none"/>
          <w:lang w:val="en-US" w:eastAsia="zh-Hans"/>
        </w:rPr>
        <w:t>乙方应当承担由此产生的一切经济及法律责任</w:t>
      </w:r>
      <w:r>
        <w:rPr>
          <w:rFonts w:hint="eastAsia" w:ascii="宋体" w:hAnsi="宋体" w:eastAsia="宋体" w:cs="宋体"/>
          <w:b w:val="0"/>
          <w:bCs/>
          <w:color w:val="auto"/>
          <w:sz w:val="24"/>
          <w:szCs w:val="24"/>
          <w:highlight w:val="none"/>
          <w:lang w:eastAsia="zh-Hans"/>
        </w:rPr>
        <w:t>，</w:t>
      </w:r>
      <w:r>
        <w:rPr>
          <w:rFonts w:hint="eastAsia" w:ascii="宋体" w:hAnsi="宋体" w:eastAsia="宋体" w:cs="宋体"/>
          <w:b w:val="0"/>
          <w:bCs/>
          <w:color w:val="auto"/>
          <w:sz w:val="24"/>
          <w:szCs w:val="24"/>
          <w:highlight w:val="none"/>
          <w:lang w:val="en-US" w:eastAsia="zh-Hans"/>
        </w:rPr>
        <w:t>同时</w:t>
      </w:r>
      <w:r>
        <w:rPr>
          <w:rFonts w:hint="eastAsia" w:ascii="宋体" w:hAnsi="宋体" w:eastAsia="宋体" w:cs="宋体"/>
          <w:b w:val="0"/>
          <w:bCs/>
          <w:color w:val="auto"/>
          <w:sz w:val="24"/>
          <w:szCs w:val="24"/>
          <w:highlight w:val="none"/>
        </w:rPr>
        <w:t>乙方除应向甲方返还已收款项外，还应另按合同</w:t>
      </w:r>
      <w:r>
        <w:rPr>
          <w:rFonts w:hint="eastAsia" w:ascii="宋体" w:hAnsi="宋体" w:eastAsia="宋体" w:cs="宋体"/>
          <w:b w:val="0"/>
          <w:bCs/>
          <w:color w:val="auto"/>
          <w:sz w:val="24"/>
          <w:szCs w:val="24"/>
          <w:highlight w:val="none"/>
          <w:lang w:val="en-US" w:eastAsia="zh-CN"/>
        </w:rPr>
        <w:t>暂定</w:t>
      </w:r>
      <w:r>
        <w:rPr>
          <w:rFonts w:hint="eastAsia" w:ascii="宋体" w:hAnsi="宋体" w:eastAsia="宋体" w:cs="宋体"/>
          <w:b w:val="0"/>
          <w:bCs/>
          <w:color w:val="auto"/>
          <w:sz w:val="24"/>
          <w:szCs w:val="24"/>
          <w:highlight w:val="none"/>
        </w:rPr>
        <w:t>总价20%向甲方支付违约金并赔偿因此给甲方造成的一切损失。</w:t>
      </w:r>
    </w:p>
    <w:p w14:paraId="12B08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9.2.5</w:t>
      </w:r>
      <w:r>
        <w:rPr>
          <w:rFonts w:hint="eastAsia" w:ascii="宋体" w:hAnsi="宋体" w:eastAsia="宋体" w:cs="宋体"/>
          <w:b w:val="0"/>
          <w:bCs/>
          <w:color w:val="auto"/>
          <w:sz w:val="24"/>
          <w:szCs w:val="24"/>
          <w:highlight w:val="none"/>
        </w:rPr>
        <w:t>乙方支付的违约金不足以弥补甲方损失的，还应按甲方损失尚未弥补的部分，支付赔偿金给甲方。</w:t>
      </w:r>
    </w:p>
    <w:p w14:paraId="4CD74BF1">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条：免责</w:t>
      </w:r>
    </w:p>
    <w:p w14:paraId="15D097F5">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不可抗力：签约双方中任何一方由于战争及严重的洪水、台风、地震、塌方等不可抗力事件而影响合同的执行时，应及时通知对方，请求延迟相应受影响部分的履行期限或本合同终止，采取适当措施以防止损失扩大，延迟时间应相当于事件影响的时间。不可抗力系指双方在缔结合同时所不能预见的，并且它的发生及后果是无法克服和无法避免的。</w:t>
      </w:r>
    </w:p>
    <w:p w14:paraId="4380422E">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.2因情势变化（如甲方工程项目取消）导致本合同甲方所购货物失去实际意义时，甲方应及时通知乙方协商办理相应合同结算及终止事宜。对此双方均不属违约。</w:t>
      </w:r>
    </w:p>
    <w:p w14:paraId="7F91FBFD">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条：争议解决</w:t>
      </w:r>
    </w:p>
    <w:p w14:paraId="6B30D770">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本合同在履行过程中产生争议的，由双方当事人协商解决，协商或调解不成的，由</w:t>
      </w:r>
      <w:r>
        <w:rPr>
          <w:rFonts w:hint="eastAsia" w:ascii="宋体" w:hAnsi="宋体" w:eastAsia="宋体" w:cs="宋体"/>
          <w:color w:val="auto"/>
          <w:sz w:val="24"/>
          <w:szCs w:val="24"/>
          <w:highlight w:val="none"/>
          <w:lang w:val="en-US" w:eastAsia="zh-CN"/>
        </w:rPr>
        <w:t>甲方住所地人民法院管辖，败诉方还应当承担胜诉方因此支付的诉讼费、保全费、律师费、差旅费等实际费用</w:t>
      </w:r>
      <w:r>
        <w:rPr>
          <w:rFonts w:hint="eastAsia" w:ascii="宋体" w:hAnsi="宋体" w:eastAsia="宋体" w:cs="宋体"/>
          <w:color w:val="auto"/>
          <w:sz w:val="24"/>
          <w:szCs w:val="24"/>
          <w:highlight w:val="none"/>
        </w:rPr>
        <w:t>。</w:t>
      </w:r>
    </w:p>
    <w:p w14:paraId="320E5E14">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条：附   则</w:t>
      </w:r>
    </w:p>
    <w:p w14:paraId="414AF18D">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.1本合同在执行期间，如有未尽事宜，由甲乙双方协商，另行</w:t>
      </w:r>
      <w:r>
        <w:rPr>
          <w:rFonts w:hint="eastAsia" w:ascii="宋体" w:hAnsi="宋体" w:eastAsia="宋体" w:cs="宋体"/>
          <w:color w:val="auto"/>
          <w:sz w:val="24"/>
          <w:szCs w:val="24"/>
          <w:highlight w:val="none"/>
          <w:lang w:val="en-US" w:eastAsia="zh-CN"/>
        </w:rPr>
        <w:t>按程序</w:t>
      </w:r>
      <w:r>
        <w:rPr>
          <w:rFonts w:hint="eastAsia" w:ascii="宋体" w:hAnsi="宋体" w:eastAsia="宋体" w:cs="宋体"/>
          <w:color w:val="auto"/>
          <w:sz w:val="24"/>
          <w:szCs w:val="24"/>
          <w:highlight w:val="none"/>
        </w:rPr>
        <w:t>签订补充协议，补充协议与本合同具有同等效力。</w:t>
      </w:r>
    </w:p>
    <w:p w14:paraId="33ABDBFA">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.2甲乙双方承诺，在签订及履行本合同时，应本着诚信原则，保守对方的商业秘密，因归责于自身原因，造成对方商业秘密外泄，承担由此而造成的损失。</w:t>
      </w:r>
    </w:p>
    <w:p w14:paraId="5CD69ED9">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并加盖单位公章</w:t>
      </w:r>
      <w:r>
        <w:rPr>
          <w:rFonts w:hint="eastAsia" w:ascii="宋体" w:hAnsi="宋体" w:eastAsia="宋体" w:cs="宋体"/>
          <w:color w:val="auto"/>
          <w:sz w:val="24"/>
          <w:szCs w:val="24"/>
          <w:highlight w:val="none"/>
        </w:rPr>
        <w:t>后生效，甲乙双方应本着公平、合理原则全面履行本合同条款。</w:t>
      </w:r>
    </w:p>
    <w:p w14:paraId="46F4CEFC">
      <w:pPr>
        <w:pStyle w:val="5"/>
        <w:pageBreakBefore w:val="0"/>
        <w:kinsoku/>
        <w:wordWrap/>
        <w:overflowPunct/>
        <w:topLinePunct w:val="0"/>
        <w:autoSpaceDE/>
        <w:autoSpaceDN/>
        <w:bidi w:val="0"/>
        <w:adjustRightInd/>
        <w:snapToGrid/>
        <w:spacing w:after="0" w:line="360" w:lineRule="auto"/>
        <w:ind w:firstLine="480" w:firstLineChars="200"/>
        <w:rPr>
          <w:rFonts w:hint="eastAsia" w:ascii="宋体" w:hAnsi="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12.4甲方联系人及联系方式</w:t>
      </w:r>
      <w:r>
        <w:rPr>
          <w:rFonts w:hint="eastAsia" w:ascii="宋体" w:hAnsi="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cs="宋体"/>
          <w:color w:val="auto"/>
          <w:kern w:val="2"/>
          <w:sz w:val="24"/>
          <w:szCs w:val="24"/>
          <w:highlight w:val="none"/>
          <w:u w:val="none"/>
          <w:lang w:val="en-US" w:eastAsia="zh-CN" w:bidi="ar-SA"/>
        </w:rPr>
        <w:t xml:space="preserve">                            </w:t>
      </w:r>
    </w:p>
    <w:p w14:paraId="0328FC74">
      <w:pPr>
        <w:pStyle w:val="5"/>
        <w:pageBreakBefore w:val="0"/>
        <w:kinsoku/>
        <w:wordWrap/>
        <w:overflowPunct/>
        <w:topLinePunct w:val="0"/>
        <w:autoSpaceDE/>
        <w:autoSpaceDN/>
        <w:bidi w:val="0"/>
        <w:adjustRightInd/>
        <w:snapToGrid/>
        <w:spacing w:after="0"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乙方联系人及联系方式：</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w:t>
      </w:r>
    </w:p>
    <w:p w14:paraId="750E1C58">
      <w:pPr>
        <w:rPr>
          <w:rFonts w:hint="eastAsia" w:ascii="宋体" w:hAnsi="宋体" w:eastAsia="宋体" w:cs="宋体"/>
          <w:color w:val="auto"/>
          <w:kern w:val="2"/>
          <w:sz w:val="24"/>
          <w:szCs w:val="24"/>
          <w:highlight w:val="none"/>
          <w:u w:val="none"/>
          <w:lang w:val="en-US" w:eastAsia="zh-CN" w:bidi="ar-SA"/>
        </w:rPr>
      </w:pPr>
    </w:p>
    <w:p w14:paraId="7624985C">
      <w:pPr>
        <w:rPr>
          <w:rFonts w:hint="eastAsia" w:ascii="宋体" w:hAnsi="宋体" w:eastAsia="宋体" w:cs="宋体"/>
          <w:color w:val="auto"/>
          <w:kern w:val="2"/>
          <w:sz w:val="24"/>
          <w:szCs w:val="24"/>
          <w:highlight w:val="none"/>
          <w:u w:val="none"/>
          <w:lang w:val="en-US" w:eastAsia="zh-CN" w:bidi="ar-SA"/>
        </w:rPr>
      </w:pPr>
    </w:p>
    <w:tbl>
      <w:tblPr>
        <w:tblStyle w:val="9"/>
        <w:tblpPr w:leftFromText="180" w:rightFromText="180" w:vertAnchor="text" w:horzAnchor="margin" w:tblpX="-176" w:tblpY="26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5"/>
      </w:tblGrid>
      <w:tr w14:paraId="2991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805" w:type="dxa"/>
            <w:noWrap/>
            <w:vAlign w:val="center"/>
          </w:tcPr>
          <w:p w14:paraId="6CD4C29F">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            方</w:t>
            </w:r>
          </w:p>
        </w:tc>
        <w:tc>
          <w:tcPr>
            <w:tcW w:w="4835" w:type="dxa"/>
            <w:noWrap/>
            <w:vAlign w:val="center"/>
          </w:tcPr>
          <w:p w14:paraId="25229767">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             方</w:t>
            </w:r>
          </w:p>
        </w:tc>
      </w:tr>
      <w:tr w14:paraId="669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05" w:type="dxa"/>
            <w:noWrap/>
            <w:vAlign w:val="center"/>
          </w:tcPr>
          <w:p w14:paraId="1FD46972">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eastAsia="宋体" w:cs="宋体"/>
                <w:color w:val="auto"/>
                <w:sz w:val="24"/>
                <w:szCs w:val="24"/>
                <w:highlight w:val="none"/>
                <w:lang w:val="en-US" w:eastAsia="zh-CN"/>
              </w:rPr>
              <w:t>遂宁市鹏安投资有限公司</w:t>
            </w:r>
          </w:p>
          <w:p w14:paraId="74AEE5E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地址：四川省遂宁市安居区黄林路190号（凤凰半岛三期）一层商铺</w:t>
            </w:r>
          </w:p>
          <w:p w14:paraId="3275B039">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p>
          <w:p w14:paraId="43653D5E">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遂宁安居融兴村镇银行有限责任公司琼江支行</w:t>
            </w:r>
          </w:p>
          <w:p w14:paraId="48409DA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r>
              <w:rPr>
                <w:rFonts w:hint="eastAsia" w:ascii="宋体" w:hAnsi="宋体" w:eastAsia="宋体" w:cs="宋体"/>
                <w:color w:val="auto"/>
                <w:sz w:val="24"/>
                <w:szCs w:val="24"/>
                <w:highlight w:val="none"/>
                <w:lang w:val="en-US" w:eastAsia="zh-CN"/>
              </w:rPr>
              <w:t>1234517040649308</w:t>
            </w:r>
            <w:r>
              <w:rPr>
                <w:rFonts w:hint="eastAsia" w:ascii="宋体" w:hAnsi="宋体" w:eastAsia="宋体" w:cs="宋体"/>
                <w:color w:val="auto"/>
                <w:sz w:val="24"/>
                <w:szCs w:val="24"/>
                <w:highlight w:val="none"/>
              </w:rPr>
              <w:t xml:space="preserve"> </w:t>
            </w:r>
          </w:p>
        </w:tc>
        <w:tc>
          <w:tcPr>
            <w:tcW w:w="4835" w:type="dxa"/>
            <w:noWrap/>
          </w:tcPr>
          <w:p w14:paraId="75978254">
            <w:pPr>
              <w:pageBreakBefore w:val="0"/>
              <w:kinsoku/>
              <w:wordWrap/>
              <w:overflowPunct/>
              <w:topLinePunct w:val="0"/>
              <w:autoSpaceDE/>
              <w:autoSpaceDN/>
              <w:bidi w:val="0"/>
              <w:adjustRightInd/>
              <w:snapToGrid/>
              <w:spacing w:line="360" w:lineRule="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单位名称(章)：</w:t>
            </w:r>
            <w:r>
              <w:rPr>
                <w:rFonts w:hint="eastAsia" w:ascii="宋体" w:hAnsi="宋体" w:cs="宋体"/>
                <w:color w:val="auto"/>
                <w:sz w:val="24"/>
                <w:szCs w:val="24"/>
                <w:highlight w:val="none"/>
                <w:lang w:val="en-US" w:eastAsia="zh-CN"/>
              </w:rPr>
              <w:t xml:space="preserve">  </w:t>
            </w:r>
          </w:p>
          <w:p w14:paraId="385AA040">
            <w:pPr>
              <w:pageBreakBefore w:val="0"/>
              <w:kinsoku/>
              <w:wordWrap/>
              <w:overflowPunct/>
              <w:topLinePunct w:val="0"/>
              <w:autoSpaceDE/>
              <w:autoSpaceDN/>
              <w:bidi w:val="0"/>
              <w:adjustRightInd/>
              <w:snapToGrid/>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p>
          <w:p w14:paraId="6A1D0727">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p>
          <w:p w14:paraId="69C2501F">
            <w:pPr>
              <w:pStyle w:val="2"/>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委托代理人： </w:t>
            </w:r>
          </w:p>
          <w:p w14:paraId="5D0C3D63">
            <w:pPr>
              <w:pageBreakBefore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p>
          <w:p w14:paraId="0273C434">
            <w:pPr>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帐号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 </w:t>
            </w:r>
          </w:p>
        </w:tc>
      </w:tr>
    </w:tbl>
    <w:p w14:paraId="0524BE92">
      <w:pPr>
        <w:pageBreakBefore w:val="0"/>
        <w:kinsoku/>
        <w:wordWrap/>
        <w:overflowPunct/>
        <w:topLinePunct w:val="0"/>
        <w:autoSpaceDE/>
        <w:autoSpaceDN/>
        <w:bidi w:val="0"/>
        <w:adjustRightInd/>
        <w:snapToGrid/>
        <w:spacing w:line="360" w:lineRule="auto"/>
        <w:ind w:firstLine="361" w:firstLineChars="200"/>
        <w:rPr>
          <w:rFonts w:hint="eastAsia" w:ascii="宋体" w:hAnsi="宋体" w:eastAsia="宋体" w:cs="宋体"/>
          <w:b/>
          <w:color w:val="auto"/>
          <w:sz w:val="18"/>
          <w:szCs w:val="18"/>
          <w:highlight w:val="none"/>
        </w:rPr>
      </w:pPr>
    </w:p>
    <w:p w14:paraId="0222953F">
      <w:pPr>
        <w:pStyle w:val="14"/>
        <w:rPr>
          <w:rFonts w:hint="default"/>
          <w:lang w:val="en-US"/>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C07D"/>
    <w:multiLevelType w:val="multilevel"/>
    <w:tmpl w:val="8605C07D"/>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pStyle w:val="13"/>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9F356D9E"/>
    <w:multiLevelType w:val="singleLevel"/>
    <w:tmpl w:val="9F356D9E"/>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F3AB4"/>
    <w:rsid w:val="000F72D8"/>
    <w:rsid w:val="00293FD6"/>
    <w:rsid w:val="00473031"/>
    <w:rsid w:val="004874D5"/>
    <w:rsid w:val="00A42231"/>
    <w:rsid w:val="00A95A9A"/>
    <w:rsid w:val="00FE4037"/>
    <w:rsid w:val="011B0745"/>
    <w:rsid w:val="01390BCC"/>
    <w:rsid w:val="01715005"/>
    <w:rsid w:val="01877B89"/>
    <w:rsid w:val="01B446F6"/>
    <w:rsid w:val="020C4532"/>
    <w:rsid w:val="021D04ED"/>
    <w:rsid w:val="0248052C"/>
    <w:rsid w:val="02E92054"/>
    <w:rsid w:val="02F96864"/>
    <w:rsid w:val="034D095E"/>
    <w:rsid w:val="036B5288"/>
    <w:rsid w:val="037405E1"/>
    <w:rsid w:val="03B31109"/>
    <w:rsid w:val="04293179"/>
    <w:rsid w:val="048E56D2"/>
    <w:rsid w:val="04D550AF"/>
    <w:rsid w:val="04F30983"/>
    <w:rsid w:val="055C757F"/>
    <w:rsid w:val="059A3C03"/>
    <w:rsid w:val="05B9677F"/>
    <w:rsid w:val="05C20583"/>
    <w:rsid w:val="05C649F8"/>
    <w:rsid w:val="05D215EF"/>
    <w:rsid w:val="06023C82"/>
    <w:rsid w:val="060A6344"/>
    <w:rsid w:val="060E0879"/>
    <w:rsid w:val="06222576"/>
    <w:rsid w:val="06426774"/>
    <w:rsid w:val="06622973"/>
    <w:rsid w:val="0667442D"/>
    <w:rsid w:val="06A20151"/>
    <w:rsid w:val="06BD229F"/>
    <w:rsid w:val="075229E7"/>
    <w:rsid w:val="07C82CA9"/>
    <w:rsid w:val="07F615C4"/>
    <w:rsid w:val="08144141"/>
    <w:rsid w:val="082D6FB0"/>
    <w:rsid w:val="092E2FE0"/>
    <w:rsid w:val="097430E9"/>
    <w:rsid w:val="09840E52"/>
    <w:rsid w:val="09B037E0"/>
    <w:rsid w:val="09C13E54"/>
    <w:rsid w:val="0A4A3E4A"/>
    <w:rsid w:val="0A572476"/>
    <w:rsid w:val="0A876E4C"/>
    <w:rsid w:val="0AC92FC0"/>
    <w:rsid w:val="0AE55920"/>
    <w:rsid w:val="0AFB5144"/>
    <w:rsid w:val="0B0B11A6"/>
    <w:rsid w:val="0B0B5FD3"/>
    <w:rsid w:val="0B5C5BE2"/>
    <w:rsid w:val="0BA03D07"/>
    <w:rsid w:val="0BF33D8A"/>
    <w:rsid w:val="0C5D60B6"/>
    <w:rsid w:val="0C7043B9"/>
    <w:rsid w:val="0C7D0506"/>
    <w:rsid w:val="0CA47CE3"/>
    <w:rsid w:val="0D31309F"/>
    <w:rsid w:val="0D4A7B86"/>
    <w:rsid w:val="0DB8731C"/>
    <w:rsid w:val="0DD34156"/>
    <w:rsid w:val="0DDA0DE1"/>
    <w:rsid w:val="0E213113"/>
    <w:rsid w:val="0E4C1E01"/>
    <w:rsid w:val="0E527771"/>
    <w:rsid w:val="0E691088"/>
    <w:rsid w:val="0E8A515C"/>
    <w:rsid w:val="0E941B37"/>
    <w:rsid w:val="0E9E6512"/>
    <w:rsid w:val="0EA224A6"/>
    <w:rsid w:val="0EA53D44"/>
    <w:rsid w:val="0EDF2674"/>
    <w:rsid w:val="0EE859DF"/>
    <w:rsid w:val="0F0A004B"/>
    <w:rsid w:val="0FBA55CD"/>
    <w:rsid w:val="0FBF4992"/>
    <w:rsid w:val="0FC95811"/>
    <w:rsid w:val="101E1E6D"/>
    <w:rsid w:val="10377407"/>
    <w:rsid w:val="1041184B"/>
    <w:rsid w:val="106B4B1A"/>
    <w:rsid w:val="106F0166"/>
    <w:rsid w:val="119C141C"/>
    <w:rsid w:val="11C12C43"/>
    <w:rsid w:val="11C24C0D"/>
    <w:rsid w:val="11D230A2"/>
    <w:rsid w:val="1211524D"/>
    <w:rsid w:val="12BC340B"/>
    <w:rsid w:val="12D15108"/>
    <w:rsid w:val="12DE75DF"/>
    <w:rsid w:val="133631BD"/>
    <w:rsid w:val="13554000"/>
    <w:rsid w:val="13741F37"/>
    <w:rsid w:val="1376180B"/>
    <w:rsid w:val="13836D3C"/>
    <w:rsid w:val="139545C9"/>
    <w:rsid w:val="13BA2DDD"/>
    <w:rsid w:val="14331E76"/>
    <w:rsid w:val="1444190A"/>
    <w:rsid w:val="149F2FE4"/>
    <w:rsid w:val="14A66120"/>
    <w:rsid w:val="14E16FAC"/>
    <w:rsid w:val="14F90946"/>
    <w:rsid w:val="15211C4B"/>
    <w:rsid w:val="152359C3"/>
    <w:rsid w:val="152A0AFF"/>
    <w:rsid w:val="15671D54"/>
    <w:rsid w:val="15DA0777"/>
    <w:rsid w:val="16164737"/>
    <w:rsid w:val="16331C36"/>
    <w:rsid w:val="167504A0"/>
    <w:rsid w:val="16897AA8"/>
    <w:rsid w:val="16A14DF1"/>
    <w:rsid w:val="17363247"/>
    <w:rsid w:val="17367C2F"/>
    <w:rsid w:val="17602EFE"/>
    <w:rsid w:val="17644D33"/>
    <w:rsid w:val="17915CCC"/>
    <w:rsid w:val="17C47127"/>
    <w:rsid w:val="17DB2585"/>
    <w:rsid w:val="17E4768B"/>
    <w:rsid w:val="183323C1"/>
    <w:rsid w:val="18463EA2"/>
    <w:rsid w:val="18491BE4"/>
    <w:rsid w:val="186802BC"/>
    <w:rsid w:val="186E164B"/>
    <w:rsid w:val="18BF1EA7"/>
    <w:rsid w:val="18CD0833"/>
    <w:rsid w:val="18CD45C3"/>
    <w:rsid w:val="190F698A"/>
    <w:rsid w:val="198253AE"/>
    <w:rsid w:val="19BE0C34"/>
    <w:rsid w:val="19F31E08"/>
    <w:rsid w:val="1AA66E7A"/>
    <w:rsid w:val="1ABD41C4"/>
    <w:rsid w:val="1AEB2ADF"/>
    <w:rsid w:val="1AEC6857"/>
    <w:rsid w:val="1B0B13D3"/>
    <w:rsid w:val="1B1D4C62"/>
    <w:rsid w:val="1B776A68"/>
    <w:rsid w:val="1BCB4BAB"/>
    <w:rsid w:val="1BFD51C0"/>
    <w:rsid w:val="1C0025BA"/>
    <w:rsid w:val="1C0876C1"/>
    <w:rsid w:val="1C252021"/>
    <w:rsid w:val="1C500EBC"/>
    <w:rsid w:val="1C5D17BA"/>
    <w:rsid w:val="1CA13D9D"/>
    <w:rsid w:val="1CD31A7D"/>
    <w:rsid w:val="1D04432C"/>
    <w:rsid w:val="1D0D1432"/>
    <w:rsid w:val="1D126A49"/>
    <w:rsid w:val="1D3249F5"/>
    <w:rsid w:val="1D4110DC"/>
    <w:rsid w:val="1DB21FDA"/>
    <w:rsid w:val="1E42753A"/>
    <w:rsid w:val="1E5D6F6E"/>
    <w:rsid w:val="1E6C3F37"/>
    <w:rsid w:val="1EA10478"/>
    <w:rsid w:val="1EB55657"/>
    <w:rsid w:val="1EE25969"/>
    <w:rsid w:val="1F0E43BC"/>
    <w:rsid w:val="1F824685"/>
    <w:rsid w:val="1FE22078"/>
    <w:rsid w:val="1FE752A1"/>
    <w:rsid w:val="205904EB"/>
    <w:rsid w:val="20A51982"/>
    <w:rsid w:val="20DA5ACF"/>
    <w:rsid w:val="21117017"/>
    <w:rsid w:val="212B00D9"/>
    <w:rsid w:val="22460F43"/>
    <w:rsid w:val="22665141"/>
    <w:rsid w:val="22765384"/>
    <w:rsid w:val="22E449E3"/>
    <w:rsid w:val="231B4EF7"/>
    <w:rsid w:val="233D35A0"/>
    <w:rsid w:val="237C10C0"/>
    <w:rsid w:val="238B4E5F"/>
    <w:rsid w:val="23D34681"/>
    <w:rsid w:val="24217571"/>
    <w:rsid w:val="248024EA"/>
    <w:rsid w:val="24945F95"/>
    <w:rsid w:val="24A51F50"/>
    <w:rsid w:val="24C17889"/>
    <w:rsid w:val="24EB5209"/>
    <w:rsid w:val="25270BB7"/>
    <w:rsid w:val="2551032A"/>
    <w:rsid w:val="25AE3087"/>
    <w:rsid w:val="25E60A73"/>
    <w:rsid w:val="261C4494"/>
    <w:rsid w:val="261E645E"/>
    <w:rsid w:val="26526108"/>
    <w:rsid w:val="265453B2"/>
    <w:rsid w:val="26795443"/>
    <w:rsid w:val="269C55D5"/>
    <w:rsid w:val="26B24DF9"/>
    <w:rsid w:val="26DE174A"/>
    <w:rsid w:val="2729330D"/>
    <w:rsid w:val="276500BD"/>
    <w:rsid w:val="278E0484"/>
    <w:rsid w:val="27EB6814"/>
    <w:rsid w:val="27F31225"/>
    <w:rsid w:val="281E2746"/>
    <w:rsid w:val="28773C04"/>
    <w:rsid w:val="28D472A8"/>
    <w:rsid w:val="28F90ABD"/>
    <w:rsid w:val="293E4722"/>
    <w:rsid w:val="2953641F"/>
    <w:rsid w:val="298B4856"/>
    <w:rsid w:val="298F4F7D"/>
    <w:rsid w:val="29F64FFC"/>
    <w:rsid w:val="2A133E00"/>
    <w:rsid w:val="2A17569E"/>
    <w:rsid w:val="2A336250"/>
    <w:rsid w:val="2A7A79DB"/>
    <w:rsid w:val="2ABA427C"/>
    <w:rsid w:val="2ACF41CB"/>
    <w:rsid w:val="2AFC4894"/>
    <w:rsid w:val="2B746F73"/>
    <w:rsid w:val="2B8D6C27"/>
    <w:rsid w:val="2BDB094E"/>
    <w:rsid w:val="2C02412C"/>
    <w:rsid w:val="2C057779"/>
    <w:rsid w:val="2C3D6F12"/>
    <w:rsid w:val="2C3E59F0"/>
    <w:rsid w:val="2C5D1AC1"/>
    <w:rsid w:val="2CA705AF"/>
    <w:rsid w:val="2CD05FD9"/>
    <w:rsid w:val="2D2A773F"/>
    <w:rsid w:val="2D497F94"/>
    <w:rsid w:val="2DA90D03"/>
    <w:rsid w:val="2DC378EB"/>
    <w:rsid w:val="2DFF6B75"/>
    <w:rsid w:val="2E0A3A43"/>
    <w:rsid w:val="2E2959A0"/>
    <w:rsid w:val="2E456552"/>
    <w:rsid w:val="2E8452CD"/>
    <w:rsid w:val="2EE22F0D"/>
    <w:rsid w:val="2F155F25"/>
    <w:rsid w:val="2F286A40"/>
    <w:rsid w:val="2F82362D"/>
    <w:rsid w:val="2FA8323D"/>
    <w:rsid w:val="30796039"/>
    <w:rsid w:val="30EB33E1"/>
    <w:rsid w:val="310E0E7D"/>
    <w:rsid w:val="311255A5"/>
    <w:rsid w:val="31264419"/>
    <w:rsid w:val="31D64091"/>
    <w:rsid w:val="321F34EA"/>
    <w:rsid w:val="3267118D"/>
    <w:rsid w:val="335A484E"/>
    <w:rsid w:val="33753436"/>
    <w:rsid w:val="33930C20"/>
    <w:rsid w:val="33B43F5E"/>
    <w:rsid w:val="33BE4DDD"/>
    <w:rsid w:val="33CF0D98"/>
    <w:rsid w:val="33D67B4A"/>
    <w:rsid w:val="344F64F9"/>
    <w:rsid w:val="34833670"/>
    <w:rsid w:val="34CE2DFE"/>
    <w:rsid w:val="34D92E2A"/>
    <w:rsid w:val="35231EEE"/>
    <w:rsid w:val="355A28E3"/>
    <w:rsid w:val="35982392"/>
    <w:rsid w:val="35DC779C"/>
    <w:rsid w:val="35F20D6E"/>
    <w:rsid w:val="36200CAA"/>
    <w:rsid w:val="367D7142"/>
    <w:rsid w:val="369167D9"/>
    <w:rsid w:val="36D82200"/>
    <w:rsid w:val="36EE59D9"/>
    <w:rsid w:val="370130B6"/>
    <w:rsid w:val="3747333B"/>
    <w:rsid w:val="374E46CA"/>
    <w:rsid w:val="376731C9"/>
    <w:rsid w:val="376C4B50"/>
    <w:rsid w:val="377203B8"/>
    <w:rsid w:val="37906A90"/>
    <w:rsid w:val="37977E1F"/>
    <w:rsid w:val="37FA7780"/>
    <w:rsid w:val="380F3E59"/>
    <w:rsid w:val="38B8629F"/>
    <w:rsid w:val="38B97E0B"/>
    <w:rsid w:val="39205BF2"/>
    <w:rsid w:val="392C4597"/>
    <w:rsid w:val="39335925"/>
    <w:rsid w:val="397A0E3C"/>
    <w:rsid w:val="398268AC"/>
    <w:rsid w:val="39836BEC"/>
    <w:rsid w:val="399F5FD3"/>
    <w:rsid w:val="39E210F9"/>
    <w:rsid w:val="3A211C22"/>
    <w:rsid w:val="3A995C5C"/>
    <w:rsid w:val="3A9B5E78"/>
    <w:rsid w:val="3AD06A61"/>
    <w:rsid w:val="3AEA295B"/>
    <w:rsid w:val="3AEC0481"/>
    <w:rsid w:val="3B424545"/>
    <w:rsid w:val="3B9A1C8B"/>
    <w:rsid w:val="3C125CC6"/>
    <w:rsid w:val="3C5E715D"/>
    <w:rsid w:val="3C683B38"/>
    <w:rsid w:val="3C756255"/>
    <w:rsid w:val="3C9D56D7"/>
    <w:rsid w:val="3CAA23A2"/>
    <w:rsid w:val="3CF14C03"/>
    <w:rsid w:val="3D453E79"/>
    <w:rsid w:val="3D7824A0"/>
    <w:rsid w:val="3DB17760"/>
    <w:rsid w:val="3DC54FBA"/>
    <w:rsid w:val="3DEA67CE"/>
    <w:rsid w:val="3E895FE7"/>
    <w:rsid w:val="3EEF22EE"/>
    <w:rsid w:val="3EEF6792"/>
    <w:rsid w:val="3F277CDA"/>
    <w:rsid w:val="3F373C95"/>
    <w:rsid w:val="3F7B1DD4"/>
    <w:rsid w:val="3FD55988"/>
    <w:rsid w:val="3FE77469"/>
    <w:rsid w:val="4037219F"/>
    <w:rsid w:val="404B3E9C"/>
    <w:rsid w:val="4056454A"/>
    <w:rsid w:val="406D5BC1"/>
    <w:rsid w:val="40730CFD"/>
    <w:rsid w:val="407C4056"/>
    <w:rsid w:val="40A21BBC"/>
    <w:rsid w:val="40AA37CC"/>
    <w:rsid w:val="40B732E0"/>
    <w:rsid w:val="40BC6B48"/>
    <w:rsid w:val="40D8646E"/>
    <w:rsid w:val="40D93256"/>
    <w:rsid w:val="40E85247"/>
    <w:rsid w:val="40F633A5"/>
    <w:rsid w:val="410A340F"/>
    <w:rsid w:val="414A4154"/>
    <w:rsid w:val="417B60BB"/>
    <w:rsid w:val="41A76EB0"/>
    <w:rsid w:val="41E32032"/>
    <w:rsid w:val="42361DD4"/>
    <w:rsid w:val="424D245E"/>
    <w:rsid w:val="425863FC"/>
    <w:rsid w:val="4278084D"/>
    <w:rsid w:val="42DC702D"/>
    <w:rsid w:val="42DE4B54"/>
    <w:rsid w:val="43340C18"/>
    <w:rsid w:val="43A713E9"/>
    <w:rsid w:val="43AF029E"/>
    <w:rsid w:val="43DF5027"/>
    <w:rsid w:val="44087FDD"/>
    <w:rsid w:val="444434DD"/>
    <w:rsid w:val="44786B45"/>
    <w:rsid w:val="448E25A9"/>
    <w:rsid w:val="44CE660D"/>
    <w:rsid w:val="44EE3048"/>
    <w:rsid w:val="450E1DD3"/>
    <w:rsid w:val="454809AA"/>
    <w:rsid w:val="45967968"/>
    <w:rsid w:val="46081EE8"/>
    <w:rsid w:val="463E4ADC"/>
    <w:rsid w:val="4665733A"/>
    <w:rsid w:val="47541888"/>
    <w:rsid w:val="475A6773"/>
    <w:rsid w:val="477535AD"/>
    <w:rsid w:val="47A10846"/>
    <w:rsid w:val="47CF53B3"/>
    <w:rsid w:val="47D227AD"/>
    <w:rsid w:val="47D93B3C"/>
    <w:rsid w:val="47F72214"/>
    <w:rsid w:val="48621D83"/>
    <w:rsid w:val="48F55078"/>
    <w:rsid w:val="48F86243"/>
    <w:rsid w:val="490146B7"/>
    <w:rsid w:val="493D634C"/>
    <w:rsid w:val="495104D4"/>
    <w:rsid w:val="49706721"/>
    <w:rsid w:val="49753D38"/>
    <w:rsid w:val="49836455"/>
    <w:rsid w:val="49B22896"/>
    <w:rsid w:val="4A546BEF"/>
    <w:rsid w:val="4A595408"/>
    <w:rsid w:val="4AA06B93"/>
    <w:rsid w:val="4B013AD5"/>
    <w:rsid w:val="4B117A90"/>
    <w:rsid w:val="4B427C4A"/>
    <w:rsid w:val="4B46773A"/>
    <w:rsid w:val="4B6B53F2"/>
    <w:rsid w:val="4B8169C4"/>
    <w:rsid w:val="4BC30D8B"/>
    <w:rsid w:val="4BE96317"/>
    <w:rsid w:val="4C020640"/>
    <w:rsid w:val="4C235CCD"/>
    <w:rsid w:val="4C4719BC"/>
    <w:rsid w:val="4C4F6AC2"/>
    <w:rsid w:val="4CD36402"/>
    <w:rsid w:val="4D1A2C2C"/>
    <w:rsid w:val="4D5A127B"/>
    <w:rsid w:val="4D873952"/>
    <w:rsid w:val="4D8B1D7C"/>
    <w:rsid w:val="4DC0326F"/>
    <w:rsid w:val="4E1753BE"/>
    <w:rsid w:val="4E3715BC"/>
    <w:rsid w:val="4E5B174E"/>
    <w:rsid w:val="4E726A98"/>
    <w:rsid w:val="4E830CA5"/>
    <w:rsid w:val="4E992525"/>
    <w:rsid w:val="4E9C58C3"/>
    <w:rsid w:val="4EF1548F"/>
    <w:rsid w:val="4F3E541F"/>
    <w:rsid w:val="4F530677"/>
    <w:rsid w:val="4F5477B1"/>
    <w:rsid w:val="4F553D3D"/>
    <w:rsid w:val="4F841B70"/>
    <w:rsid w:val="4F9C3DCC"/>
    <w:rsid w:val="4F9D7B44"/>
    <w:rsid w:val="4FD277EE"/>
    <w:rsid w:val="4FD5235B"/>
    <w:rsid w:val="4FEE03A0"/>
    <w:rsid w:val="500D6A78"/>
    <w:rsid w:val="501E7571"/>
    <w:rsid w:val="504F0E3F"/>
    <w:rsid w:val="508605D9"/>
    <w:rsid w:val="50B27620"/>
    <w:rsid w:val="50CC248F"/>
    <w:rsid w:val="50E84DEF"/>
    <w:rsid w:val="50F6575E"/>
    <w:rsid w:val="50FC089B"/>
    <w:rsid w:val="510A120A"/>
    <w:rsid w:val="51587149"/>
    <w:rsid w:val="51C969CF"/>
    <w:rsid w:val="52025526"/>
    <w:rsid w:val="52334191"/>
    <w:rsid w:val="524644C3"/>
    <w:rsid w:val="52874867"/>
    <w:rsid w:val="52B96A43"/>
    <w:rsid w:val="52DC2732"/>
    <w:rsid w:val="52F932E4"/>
    <w:rsid w:val="535E75EB"/>
    <w:rsid w:val="537E1A3B"/>
    <w:rsid w:val="53990623"/>
    <w:rsid w:val="54212AF2"/>
    <w:rsid w:val="542B3971"/>
    <w:rsid w:val="54813591"/>
    <w:rsid w:val="552220D1"/>
    <w:rsid w:val="5527238A"/>
    <w:rsid w:val="55C53951"/>
    <w:rsid w:val="565369E5"/>
    <w:rsid w:val="568D0913"/>
    <w:rsid w:val="56BC4D54"/>
    <w:rsid w:val="56F444EE"/>
    <w:rsid w:val="57144B90"/>
    <w:rsid w:val="578A6C00"/>
    <w:rsid w:val="590D7AE9"/>
    <w:rsid w:val="590E560F"/>
    <w:rsid w:val="59142C25"/>
    <w:rsid w:val="59305585"/>
    <w:rsid w:val="59505C28"/>
    <w:rsid w:val="59AA17DC"/>
    <w:rsid w:val="59D517FE"/>
    <w:rsid w:val="5A3B2434"/>
    <w:rsid w:val="5A820063"/>
    <w:rsid w:val="5A897643"/>
    <w:rsid w:val="5A93401E"/>
    <w:rsid w:val="5A9D6C4B"/>
    <w:rsid w:val="5AA004E9"/>
    <w:rsid w:val="5B5E287E"/>
    <w:rsid w:val="5BAA2B88"/>
    <w:rsid w:val="5BBB1A7E"/>
    <w:rsid w:val="5BD40D92"/>
    <w:rsid w:val="5BE32D83"/>
    <w:rsid w:val="5C11169E"/>
    <w:rsid w:val="5C1967A5"/>
    <w:rsid w:val="5C4C0928"/>
    <w:rsid w:val="5C563555"/>
    <w:rsid w:val="5C766B8D"/>
    <w:rsid w:val="5CF07506"/>
    <w:rsid w:val="5D2B6790"/>
    <w:rsid w:val="5D5E6B65"/>
    <w:rsid w:val="5DA55197"/>
    <w:rsid w:val="5DD21301"/>
    <w:rsid w:val="5E30030F"/>
    <w:rsid w:val="5E9D546B"/>
    <w:rsid w:val="5EFD23AE"/>
    <w:rsid w:val="5F896013"/>
    <w:rsid w:val="5FA40A7B"/>
    <w:rsid w:val="5FC15189"/>
    <w:rsid w:val="5FF27A39"/>
    <w:rsid w:val="5FF94273"/>
    <w:rsid w:val="600532C8"/>
    <w:rsid w:val="60433DF0"/>
    <w:rsid w:val="607C7302"/>
    <w:rsid w:val="608F7035"/>
    <w:rsid w:val="61311789"/>
    <w:rsid w:val="61442516"/>
    <w:rsid w:val="61451750"/>
    <w:rsid w:val="616109D2"/>
    <w:rsid w:val="61761FA3"/>
    <w:rsid w:val="61D218D0"/>
    <w:rsid w:val="61E35677"/>
    <w:rsid w:val="61F23D20"/>
    <w:rsid w:val="61FC4B9F"/>
    <w:rsid w:val="625F4A6F"/>
    <w:rsid w:val="62C54F90"/>
    <w:rsid w:val="62D82F16"/>
    <w:rsid w:val="62F968B6"/>
    <w:rsid w:val="632A1297"/>
    <w:rsid w:val="634265E1"/>
    <w:rsid w:val="639808F7"/>
    <w:rsid w:val="64243F39"/>
    <w:rsid w:val="64504D2E"/>
    <w:rsid w:val="64BC0717"/>
    <w:rsid w:val="64BC6618"/>
    <w:rsid w:val="650352D1"/>
    <w:rsid w:val="650E1238"/>
    <w:rsid w:val="6525440C"/>
    <w:rsid w:val="657D7DA4"/>
    <w:rsid w:val="657F58CB"/>
    <w:rsid w:val="65A90B99"/>
    <w:rsid w:val="65D35C16"/>
    <w:rsid w:val="65DE4CE7"/>
    <w:rsid w:val="66344907"/>
    <w:rsid w:val="666920D7"/>
    <w:rsid w:val="6694184A"/>
    <w:rsid w:val="66C5326B"/>
    <w:rsid w:val="66DB2FD4"/>
    <w:rsid w:val="671B5AC7"/>
    <w:rsid w:val="673E3563"/>
    <w:rsid w:val="674A63AC"/>
    <w:rsid w:val="678278F4"/>
    <w:rsid w:val="67B11F87"/>
    <w:rsid w:val="67BD6443"/>
    <w:rsid w:val="67E60B94"/>
    <w:rsid w:val="68061D81"/>
    <w:rsid w:val="684B23DC"/>
    <w:rsid w:val="685524C0"/>
    <w:rsid w:val="68A45648"/>
    <w:rsid w:val="68D93544"/>
    <w:rsid w:val="68FE2FAA"/>
    <w:rsid w:val="69692B1A"/>
    <w:rsid w:val="697A2F79"/>
    <w:rsid w:val="69CE359D"/>
    <w:rsid w:val="69F10D61"/>
    <w:rsid w:val="6A4315BC"/>
    <w:rsid w:val="6AAB53B4"/>
    <w:rsid w:val="6AB44268"/>
    <w:rsid w:val="6AF942D9"/>
    <w:rsid w:val="6B113469"/>
    <w:rsid w:val="6B1F3AB4"/>
    <w:rsid w:val="6B923E7E"/>
    <w:rsid w:val="6C060AF4"/>
    <w:rsid w:val="6C103720"/>
    <w:rsid w:val="6C21592D"/>
    <w:rsid w:val="6C77554D"/>
    <w:rsid w:val="6C8E3C33"/>
    <w:rsid w:val="6CA34594"/>
    <w:rsid w:val="6CBE13CE"/>
    <w:rsid w:val="6D967DB4"/>
    <w:rsid w:val="6DAB0185"/>
    <w:rsid w:val="6DAD31F1"/>
    <w:rsid w:val="6DD67B8C"/>
    <w:rsid w:val="6DF417DE"/>
    <w:rsid w:val="6DF70B9F"/>
    <w:rsid w:val="6E625D89"/>
    <w:rsid w:val="6EB26D11"/>
    <w:rsid w:val="6EC86534"/>
    <w:rsid w:val="6F1C23DC"/>
    <w:rsid w:val="6F1F1ECC"/>
    <w:rsid w:val="6F307C36"/>
    <w:rsid w:val="6F806E0F"/>
    <w:rsid w:val="6F977CB5"/>
    <w:rsid w:val="6FB06613"/>
    <w:rsid w:val="6FEC1DAE"/>
    <w:rsid w:val="700370F8"/>
    <w:rsid w:val="702533F2"/>
    <w:rsid w:val="70C42D2B"/>
    <w:rsid w:val="70DD3DED"/>
    <w:rsid w:val="71B763EC"/>
    <w:rsid w:val="71C034F3"/>
    <w:rsid w:val="721203D8"/>
    <w:rsid w:val="721D1E3B"/>
    <w:rsid w:val="72275320"/>
    <w:rsid w:val="728704B4"/>
    <w:rsid w:val="72BB1F0C"/>
    <w:rsid w:val="737A2701"/>
    <w:rsid w:val="73816CB2"/>
    <w:rsid w:val="74122000"/>
    <w:rsid w:val="74D177C5"/>
    <w:rsid w:val="759251A6"/>
    <w:rsid w:val="75F55735"/>
    <w:rsid w:val="764F753B"/>
    <w:rsid w:val="77304C77"/>
    <w:rsid w:val="77422BFC"/>
    <w:rsid w:val="77A45665"/>
    <w:rsid w:val="77B51620"/>
    <w:rsid w:val="783C589D"/>
    <w:rsid w:val="784F073C"/>
    <w:rsid w:val="79020895"/>
    <w:rsid w:val="790E548B"/>
    <w:rsid w:val="794B56F7"/>
    <w:rsid w:val="795A247F"/>
    <w:rsid w:val="79602F2E"/>
    <w:rsid w:val="796C3F60"/>
    <w:rsid w:val="799F60E4"/>
    <w:rsid w:val="79E13ABF"/>
    <w:rsid w:val="7A3424CE"/>
    <w:rsid w:val="7A456C8B"/>
    <w:rsid w:val="7AA02113"/>
    <w:rsid w:val="7ACA3634"/>
    <w:rsid w:val="7B14665D"/>
    <w:rsid w:val="7B4231CA"/>
    <w:rsid w:val="7B9854E0"/>
    <w:rsid w:val="7B9D6653"/>
    <w:rsid w:val="7BA14395"/>
    <w:rsid w:val="7BAB5142"/>
    <w:rsid w:val="7BE97AEA"/>
    <w:rsid w:val="7C147DAE"/>
    <w:rsid w:val="7C49422B"/>
    <w:rsid w:val="7C6D4277"/>
    <w:rsid w:val="7C8F0691"/>
    <w:rsid w:val="7CD6006E"/>
    <w:rsid w:val="7D717D97"/>
    <w:rsid w:val="7DE30C57"/>
    <w:rsid w:val="7DFB7663"/>
    <w:rsid w:val="7E775881"/>
    <w:rsid w:val="7EF10D53"/>
    <w:rsid w:val="7EFF3357"/>
    <w:rsid w:val="7F0215EE"/>
    <w:rsid w:val="7F73429A"/>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99"/>
    <w:pPr>
      <w:widowControl w:val="0"/>
      <w:autoSpaceDE w:val="0"/>
      <w:autoSpaceDN w:val="0"/>
      <w:adjustRightInd w:val="0"/>
    </w:pPr>
    <w:rPr>
      <w:rFonts w:ascii="..ì." w:hAnsi="..ì." w:eastAsia="宋体" w:cs="..ì."/>
      <w:color w:val="000000"/>
      <w:sz w:val="24"/>
      <w:szCs w:val="24"/>
      <w:lang w:val="en-US" w:eastAsia="zh-CN" w:bidi="ar-SA"/>
    </w:rPr>
  </w:style>
  <w:style w:type="paragraph" w:styleId="3">
    <w:name w:val="caption"/>
    <w:basedOn w:val="1"/>
    <w:next w:val="1"/>
    <w:qFormat/>
    <w:uiPriority w:val="0"/>
    <w:pPr>
      <w:widowControl/>
      <w:jc w:val="left"/>
    </w:pPr>
    <w:rPr>
      <w:b/>
      <w:bCs/>
      <w:color w:val="5B9BD5"/>
      <w:kern w:val="0"/>
      <w:sz w:val="18"/>
      <w:szCs w:val="18"/>
    </w:rPr>
  </w:style>
  <w:style w:type="paragraph" w:styleId="5">
    <w:name w:val="Body Text"/>
    <w:basedOn w:val="1"/>
    <w:next w:val="1"/>
    <w:unhideWhenUsed/>
    <w:qFormat/>
    <w:uiPriority w:val="99"/>
    <w:pPr>
      <w:spacing w:after="120" w:afterLines="0" w:afterAutospacing="0"/>
    </w:pPr>
  </w:style>
  <w:style w:type="paragraph" w:styleId="6">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标题 5（有编号）（绿盟科技）"/>
    <w:basedOn w:val="1"/>
    <w:next w:val="12"/>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3">
    <w:name w:val="UserStyle_0"/>
    <w:basedOn w:val="1"/>
    <w:next w:val="14"/>
    <w:qFormat/>
    <w:uiPriority w:val="0"/>
    <w:pPr>
      <w:keepNext/>
      <w:keepLines/>
      <w:numPr>
        <w:ilvl w:val="4"/>
        <w:numId w:val="2"/>
      </w:numPr>
      <w:spacing w:before="280" w:after="156" w:line="377" w:lineRule="auto"/>
      <w:jc w:val="both"/>
      <w:textAlignment w:val="baseline"/>
    </w:pPr>
    <w:rPr>
      <w:rFonts w:ascii="Arial" w:hAnsi="Arial" w:eastAsia="黑体"/>
      <w:b/>
      <w:kern w:val="2"/>
      <w:sz w:val="24"/>
      <w:szCs w:val="28"/>
      <w:lang w:val="en-US" w:eastAsia="zh-CN" w:bidi="ar-SA"/>
    </w:rPr>
  </w:style>
  <w:style w:type="paragraph" w:customStyle="1" w:styleId="14">
    <w:name w:val="UserStyle_1"/>
    <w:qFormat/>
    <w:uiPriority w:val="0"/>
    <w:pPr>
      <w:spacing w:line="300" w:lineRule="auto"/>
      <w:textAlignment w:val="baseline"/>
    </w:pPr>
    <w:rPr>
      <w:rFonts w:ascii="Arial" w:hAnsi="Arial" w:eastAsia="宋体" w:cs="Times New Roman"/>
      <w:sz w:val="21"/>
      <w:szCs w:val="21"/>
      <w:lang w:val="en-US" w:eastAsia="zh-CN" w:bidi="ar-SA"/>
    </w:rPr>
  </w:style>
  <w:style w:type="character" w:customStyle="1" w:styleId="15">
    <w:name w:val="font11"/>
    <w:basedOn w:val="10"/>
    <w:qFormat/>
    <w:uiPriority w:val="0"/>
    <w:rPr>
      <w:rFonts w:hint="eastAsia" w:ascii="宋体" w:hAnsi="宋体" w:eastAsia="宋体" w:cs="宋体"/>
      <w:b/>
      <w:bCs/>
      <w:color w:val="000000"/>
      <w:sz w:val="22"/>
      <w:szCs w:val="22"/>
      <w:u w:val="none"/>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51"/>
    <w:basedOn w:val="10"/>
    <w:qFormat/>
    <w:uiPriority w:val="0"/>
    <w:rPr>
      <w:rFonts w:hint="eastAsia" w:ascii="宋体" w:hAnsi="宋体" w:eastAsia="宋体" w:cs="宋体"/>
      <w:color w:val="000000"/>
      <w:sz w:val="24"/>
      <w:szCs w:val="24"/>
      <w:u w:val="single"/>
    </w:rPr>
  </w:style>
  <w:style w:type="character" w:customStyle="1" w:styleId="18">
    <w:name w:val="font41"/>
    <w:basedOn w:val="10"/>
    <w:qFormat/>
    <w:uiPriority w:val="0"/>
    <w:rPr>
      <w:rFonts w:hint="eastAsia" w:ascii="微软雅黑" w:hAnsi="微软雅黑" w:eastAsia="微软雅黑" w:cs="微软雅黑"/>
      <w:color w:val="000000"/>
      <w:sz w:val="20"/>
      <w:szCs w:val="20"/>
      <w:u w:val="single"/>
    </w:rPr>
  </w:style>
  <w:style w:type="character" w:customStyle="1" w:styleId="19">
    <w:name w:val="font21"/>
    <w:basedOn w:val="10"/>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5945</Words>
  <Characters>6987</Characters>
  <Lines>0</Lines>
  <Paragraphs>0</Paragraphs>
  <TotalTime>10</TotalTime>
  <ScaleCrop>false</ScaleCrop>
  <LinksUpToDate>false</LinksUpToDate>
  <CharactersWithSpaces>7546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2024-11-29T01:03:00Z</dcterms:created>
  <dc:creator>一位不愿意透露姓名的唐先生</dc:creator>
  <cp:lastModifiedBy>一位不愿意透露姓名的唐先生</cp:lastModifiedBy>
  <cp:lastPrinted>2025-09-28T09:16:00Z</cp:lastPrinted>
  <dcterms:modified xsi:type="dcterms:W3CDTF">2025-11-28T06:43:30Z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528CB46886434A05A2E8833FA7EA2BFA_11</vt:lpwstr>
  </property>
  <property fmtid="{D5CDD505-2E9C-101B-9397-08002B2CF9AE}" pid="4" name="KSOTemplateDocerSaveRecord">
    <vt:lpwstr>eyJoZGlkIjoiYWFiOTY1ZGZjYzlhZWFmMjRiMGFhMDMzYWY1MTNkZTkiLCJ1c2VySWQiOiIzOTA2MDMxNDQifQ==</vt:lpwstr>
  </property>
</Properties>
</file>